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imes New Roman" w:hAnsi="Times New Roman" w:eastAsia="方正小标宋_GBK" w:cs="Arial"/>
          <w:sz w:val="44"/>
          <w:szCs w:val="44"/>
        </w:rPr>
      </w:pPr>
      <w:bookmarkStart w:id="3" w:name="_GoBack"/>
      <w:bookmarkEnd w:id="3"/>
      <w:r>
        <w:rPr>
          <w:rFonts w:hint="eastAsia" w:ascii="Times New Roman" w:hAnsi="Times New Roman" w:eastAsia="方正小标宋_GBK" w:cs="方正小标宋_GBK"/>
          <w:sz w:val="44"/>
          <w:szCs w:val="44"/>
        </w:rPr>
        <w:t>石家庄市新华区市场监督管理局</w:t>
      </w:r>
      <w:r>
        <w:rPr>
          <w:rFonts w:ascii="Times New Roman" w:hAnsi="Times New Roman" w:eastAsia="方正小标宋_GBK" w:cs="Times New Roman"/>
          <w:sz w:val="44"/>
          <w:szCs w:val="44"/>
        </w:rPr>
        <w:t>2019</w:t>
      </w:r>
      <w:r>
        <w:rPr>
          <w:rFonts w:hint="eastAsia" w:ascii="Times New Roman" w:hAnsi="Times New Roman" w:eastAsia="方正小标宋_GBK" w:cs="方正小标宋_GBK"/>
          <w:sz w:val="44"/>
          <w:szCs w:val="44"/>
        </w:rPr>
        <w:t>年部门预算信息公开情况说明</w:t>
      </w:r>
    </w:p>
    <w:p>
      <w:pPr>
        <w:ind w:firstLine="640" w:firstLineChars="200"/>
        <w:rPr>
          <w:rFonts w:ascii="仿宋_GB2312" w:hAnsi="仿宋_GB2312" w:eastAsia="仿宋_GB2312" w:cs="Arial"/>
          <w:sz w:val="32"/>
          <w:szCs w:val="32"/>
        </w:rPr>
      </w:pPr>
      <w:r>
        <w:rPr>
          <w:rFonts w:hint="eastAsia" w:ascii="仿宋_GB2312" w:hAnsi="仿宋_GB2312" w:eastAsia="仿宋_GB2312" w:cs="仿宋_GB2312"/>
          <w:sz w:val="32"/>
          <w:szCs w:val="32"/>
        </w:rPr>
        <w:t>按照《</w:t>
      </w:r>
      <w:r>
        <w:rPr>
          <w:rFonts w:hint="eastAsia" w:ascii="仿宋_GB2312" w:hAnsi="仿宋_GB2312" w:eastAsia="仿宋_GB2312" w:cs="仿宋_GB2312"/>
          <w:sz w:val="32"/>
          <w:szCs w:val="32"/>
          <w:lang w:eastAsia="zh-CN"/>
        </w:rPr>
        <w:t>中华人民共和国</w:t>
      </w:r>
      <w:r>
        <w:rPr>
          <w:rFonts w:hint="eastAsia" w:ascii="仿宋_GB2312" w:hAnsi="仿宋_GB2312" w:eastAsia="仿宋_GB2312" w:cs="仿宋_GB2312"/>
          <w:sz w:val="32"/>
          <w:szCs w:val="32"/>
        </w:rPr>
        <w:t>预算法》、《地方预决算公开操作规程》和《石家庄市新华区区级预算公开办法》规定，现将新华区市场监督管理局</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年部门预算公开如下：</w:t>
      </w:r>
    </w:p>
    <w:p>
      <w:pPr>
        <w:ind w:firstLine="640"/>
        <w:rPr>
          <w:rFonts w:ascii="黑体" w:hAnsi="黑体" w:eastAsia="黑体" w:cs="Arial"/>
          <w:sz w:val="32"/>
          <w:szCs w:val="32"/>
        </w:rPr>
      </w:pPr>
      <w:r>
        <w:rPr>
          <w:rFonts w:hint="eastAsia" w:ascii="黑体" w:hAnsi="黑体" w:eastAsia="黑体" w:cs="黑体"/>
          <w:sz w:val="32"/>
          <w:szCs w:val="32"/>
        </w:rPr>
        <w:t>一、部门职责及机构设置情况</w:t>
      </w:r>
    </w:p>
    <w:p>
      <w:pPr>
        <w:spacing w:line="405" w:lineRule="auto"/>
        <w:ind w:right="160" w:firstLine="641"/>
        <w:rPr>
          <w:rFonts w:ascii="仿宋_GB2312" w:hAnsi="仿宋_GB2312" w:eastAsia="仿宋_GB2312" w:cs="Arial"/>
          <w:b/>
          <w:bCs/>
          <w:sz w:val="32"/>
          <w:szCs w:val="32"/>
        </w:rPr>
      </w:pPr>
      <w:r>
        <w:rPr>
          <w:rFonts w:hint="eastAsia" w:ascii="仿宋_GB2312" w:hAnsi="仿宋_GB2312" w:eastAsia="仿宋_GB2312" w:cs="仿宋_GB2312"/>
          <w:b/>
          <w:bCs/>
          <w:sz w:val="32"/>
          <w:szCs w:val="32"/>
        </w:rPr>
        <w:t>部门职责：</w:t>
      </w:r>
    </w:p>
    <w:p>
      <w:pPr>
        <w:spacing w:line="405" w:lineRule="auto"/>
        <w:ind w:right="160" w:firstLine="641"/>
        <w:rPr>
          <w:rFonts w:ascii="仿宋_GB2312" w:hAnsi="仿宋_GB2312" w:eastAsia="仿宋_GB2312" w:cs="Arial"/>
          <w:sz w:val="32"/>
          <w:szCs w:val="32"/>
        </w:rPr>
      </w:pPr>
      <w:r>
        <w:rPr>
          <w:rFonts w:hint="eastAsia" w:ascii="仿宋_GB2312" w:hAnsi="仿宋_GB2312" w:eastAsia="仿宋_GB2312" w:cs="仿宋_GB2312"/>
          <w:sz w:val="32"/>
          <w:szCs w:val="32"/>
        </w:rPr>
        <w:t>（一）贯彻执行国家、省、市有关工商行政管理、食品药品（含食品添加剂、保健食品、调味品、酒类、化妆品、中药、民族药、医疗器械，下同）监督管理等方面的法律、法规和政策。拟定并组织实施全区市场监督管理事业发展规划，拟定全区市场管理措施办法，依法负责全区市场监督管理和行政执法工作。</w:t>
      </w:r>
    </w:p>
    <w:p>
      <w:pPr>
        <w:spacing w:line="405" w:lineRule="auto"/>
        <w:ind w:right="160" w:firstLine="641"/>
        <w:rPr>
          <w:rFonts w:ascii="仿宋_GB2312" w:hAnsi="仿宋_GB2312" w:eastAsia="仿宋_GB2312" w:cs="Arial"/>
          <w:sz w:val="32"/>
          <w:szCs w:val="32"/>
        </w:rPr>
      </w:pPr>
      <w:r>
        <w:rPr>
          <w:rFonts w:hint="eastAsia" w:ascii="仿宋_GB2312" w:hAnsi="仿宋_GB2312" w:eastAsia="仿宋_GB2312" w:cs="仿宋_GB2312"/>
          <w:sz w:val="32"/>
          <w:szCs w:val="32"/>
        </w:rPr>
        <w:t>（二）在区政府领导下，按照职责分工依法查处取缔无照经营。负责市场主体业务信息库建设。</w:t>
      </w:r>
    </w:p>
    <w:p>
      <w:pPr>
        <w:spacing w:line="405" w:lineRule="auto"/>
        <w:ind w:right="160" w:firstLine="641"/>
        <w:rPr>
          <w:rFonts w:ascii="仿宋_GB2312" w:hAnsi="仿宋_GB2312" w:eastAsia="仿宋_GB2312" w:cs="Arial"/>
          <w:sz w:val="32"/>
          <w:szCs w:val="32"/>
        </w:rPr>
      </w:pPr>
      <w:r>
        <w:rPr>
          <w:rFonts w:hint="eastAsia" w:ascii="仿宋_GB2312" w:hAnsi="仿宋_GB2312" w:eastAsia="仿宋_GB2312" w:cs="仿宋_GB2312"/>
          <w:sz w:val="32"/>
          <w:szCs w:val="32"/>
        </w:rPr>
        <w:t>（三）依法负责规范和维护各类市场经营秩序，负责市场交易行为和网络交易行为及其有关服务行为的监管；依法负责对各类市场主体经营行为监督管理；依法监督管理经纪人、经纪机构及经纪活动；依法监督管理直销企业和直销人员及其直销行为，依法查处不正当竞争、商业贿赂、违法直销和传销等经济违法案件；依法监督管理广告发布活动，查处广告违法、违规行为。</w:t>
      </w:r>
    </w:p>
    <w:p>
      <w:pPr>
        <w:spacing w:line="405" w:lineRule="auto"/>
        <w:ind w:right="160" w:firstLine="641"/>
        <w:rPr>
          <w:rFonts w:ascii="仿宋_GB2312" w:hAnsi="仿宋_GB2312" w:eastAsia="仿宋_GB2312" w:cs="Arial"/>
          <w:sz w:val="32"/>
          <w:szCs w:val="32"/>
        </w:rPr>
      </w:pPr>
      <w:r>
        <w:rPr>
          <w:rFonts w:hint="eastAsia" w:ascii="仿宋_GB2312" w:hAnsi="仿宋_GB2312" w:eastAsia="仿宋_GB2312" w:cs="仿宋_GB2312"/>
          <w:sz w:val="32"/>
          <w:szCs w:val="32"/>
        </w:rPr>
        <w:t>（四）组织开展企业信用体系建设，实施企业信用分类管理；组织开展企业、个体工商户、农民专业合作社的年度报告和信用信息公示，并对公示信息实施监督管理；制定食品药品安全科技发展规划并组织实施，推动电子监管追溯体系、诚信体系和信息化建设；负责开展食品药品安全宣传、教育培训及合作交流工作。</w:t>
      </w:r>
    </w:p>
    <w:p>
      <w:pPr>
        <w:spacing w:line="405" w:lineRule="auto"/>
        <w:ind w:right="160" w:firstLine="641"/>
        <w:rPr>
          <w:rFonts w:ascii="仿宋_GB2312" w:hAnsi="仿宋_GB2312" w:eastAsia="仿宋_GB2312" w:cs="Arial"/>
          <w:sz w:val="32"/>
          <w:szCs w:val="32"/>
        </w:rPr>
      </w:pPr>
      <w:r>
        <w:rPr>
          <w:rFonts w:hint="eastAsia" w:ascii="仿宋_GB2312" w:hAnsi="仿宋_GB2312" w:eastAsia="仿宋_GB2312" w:cs="仿宋_GB2312"/>
          <w:sz w:val="32"/>
          <w:szCs w:val="32"/>
        </w:rPr>
        <w:t>（五）组织拟订并协调推进食品安全规划；推动食品安全应急体系和隐患排查治理机制建设，按规定负责食品安全事故和突发事件的应对处置；依法统一发布重大食品、药品安全信息；依法承担食品生产加工、经营流通、餐饮消费等环节的食品安全监督管理职责；承担保健食品、化妆品市场监管职责；监督指导开展食品药品安全宣传、教育培训工作。</w:t>
      </w:r>
    </w:p>
    <w:p>
      <w:pPr>
        <w:spacing w:line="405" w:lineRule="auto"/>
        <w:ind w:right="160" w:firstLine="641"/>
        <w:rPr>
          <w:rFonts w:ascii="仿宋_GB2312" w:hAnsi="仿宋_GB2312" w:eastAsia="仿宋_GB2312" w:cs="Arial"/>
          <w:sz w:val="32"/>
          <w:szCs w:val="32"/>
        </w:rPr>
      </w:pPr>
      <w:r>
        <w:rPr>
          <w:rFonts w:hint="eastAsia" w:ascii="仿宋_GB2312" w:hAnsi="仿宋_GB2312" w:eastAsia="仿宋_GB2312" w:cs="仿宋_GB2312"/>
          <w:sz w:val="32"/>
          <w:szCs w:val="32"/>
        </w:rPr>
        <w:t>（六）负责药品经营（不含药品经营连锁企业总部，二类精神药品、药用罂粟壳、医疗用毒性药品经营资格）行政许可、监督管理；负责一类医疗器械生产、经营监督管理，开展药品不良反应、药物滥用监测、医疗器械不良事件工作；配合有关部门实施国家基本药物制度；负责医疗机构（不含省级、市级医疗机构）药品、医疗器械使用环节的日常监管。</w:t>
      </w:r>
    </w:p>
    <w:p>
      <w:pPr>
        <w:spacing w:line="405" w:lineRule="auto"/>
        <w:ind w:right="160" w:firstLine="641"/>
        <w:rPr>
          <w:rFonts w:ascii="仿宋_GB2312" w:hAnsi="仿宋_GB2312" w:eastAsia="仿宋_GB2312" w:cs="Arial"/>
          <w:sz w:val="32"/>
          <w:szCs w:val="32"/>
        </w:rPr>
      </w:pPr>
      <w:r>
        <w:rPr>
          <w:rFonts w:hint="eastAsia" w:ascii="仿宋_GB2312" w:hAnsi="仿宋_GB2312" w:eastAsia="仿宋_GB2312" w:cs="仿宋_GB2312"/>
          <w:sz w:val="32"/>
          <w:szCs w:val="32"/>
        </w:rPr>
        <w:t>（七）推动建立落实食品药品安全企业主体责任、地方人民政府负总责的机制，并组织实施和监督检查，着力防范区域性、系统性食品药品安全风险。</w:t>
      </w:r>
    </w:p>
    <w:p>
      <w:pPr>
        <w:spacing w:line="405" w:lineRule="auto"/>
        <w:ind w:right="160" w:firstLine="641"/>
        <w:rPr>
          <w:rFonts w:ascii="仿宋_GB2312" w:hAnsi="仿宋_GB2312" w:eastAsia="仿宋_GB2312" w:cs="Arial"/>
          <w:sz w:val="32"/>
          <w:szCs w:val="32"/>
        </w:rPr>
      </w:pPr>
      <w:r>
        <w:rPr>
          <w:rFonts w:hint="eastAsia" w:ascii="仿宋_GB2312" w:hAnsi="仿宋_GB2312" w:eastAsia="仿宋_GB2312" w:cs="仿宋_GB2312"/>
          <w:sz w:val="32"/>
          <w:szCs w:val="32"/>
        </w:rPr>
        <w:t>（八）依法承担消费者权益保护责任，建立消费者权益保护体系，组织指导消费维权工作；负责监督管理流通领域商品质量，按职责分工查处假冒伪劣等违法行为；负责做好涉及工商行政管理、食品药品监督管理的申诉和举报工作。</w:t>
      </w:r>
    </w:p>
    <w:p>
      <w:pPr>
        <w:spacing w:line="405" w:lineRule="auto"/>
        <w:ind w:right="160" w:firstLine="641"/>
        <w:rPr>
          <w:rFonts w:ascii="仿宋_GB2312" w:hAnsi="仿宋_GB2312" w:eastAsia="仿宋_GB2312" w:cs="Arial"/>
          <w:sz w:val="32"/>
          <w:szCs w:val="32"/>
        </w:rPr>
      </w:pPr>
      <w:r>
        <w:rPr>
          <w:rFonts w:hint="eastAsia" w:ascii="仿宋_GB2312" w:hAnsi="仿宋_GB2312" w:eastAsia="仿宋_GB2312" w:cs="仿宋_GB2312"/>
          <w:sz w:val="32"/>
          <w:szCs w:val="32"/>
        </w:rPr>
        <w:t>（九）依法实施合同行政监督管理，规范合同行为，依法查处合同欺诈等违法行为；负责管理动产抵押物登记；组织实施合同格式条款备案；监督管理拍卖行为。</w:t>
      </w:r>
    </w:p>
    <w:p>
      <w:pPr>
        <w:spacing w:line="405" w:lineRule="auto"/>
        <w:ind w:right="160" w:firstLine="641"/>
        <w:rPr>
          <w:rFonts w:ascii="仿宋_GB2312" w:hAnsi="仿宋_GB2312" w:eastAsia="仿宋_GB2312" w:cs="Arial"/>
          <w:sz w:val="32"/>
          <w:szCs w:val="32"/>
        </w:rPr>
      </w:pPr>
      <w:r>
        <w:rPr>
          <w:rFonts w:hint="eastAsia" w:ascii="仿宋_GB2312" w:hAnsi="仿宋_GB2312" w:eastAsia="仿宋_GB2312" w:cs="仿宋_GB2312"/>
          <w:sz w:val="32"/>
          <w:szCs w:val="32"/>
        </w:rPr>
        <w:t>（十）负责商标监督管理工作，依法保护商标专用权，查处商标侵权行为；负责驰名商标、著名、知名商标的培育推荐保护工作；依法保护特殊标志、官方标志、地理标志。</w:t>
      </w:r>
    </w:p>
    <w:p>
      <w:pPr>
        <w:spacing w:line="405" w:lineRule="auto"/>
        <w:ind w:right="160" w:firstLine="641"/>
        <w:rPr>
          <w:rFonts w:ascii="仿宋_GB2312" w:hAnsi="仿宋_GB2312" w:eastAsia="仿宋_GB2312" w:cs="Arial"/>
          <w:sz w:val="32"/>
          <w:szCs w:val="32"/>
        </w:rPr>
      </w:pPr>
      <w:r>
        <w:rPr>
          <w:rFonts w:hint="eastAsia" w:ascii="仿宋_GB2312" w:hAnsi="仿宋_GB2312" w:eastAsia="仿宋_GB2312" w:cs="仿宋_GB2312"/>
          <w:sz w:val="32"/>
          <w:szCs w:val="32"/>
        </w:rPr>
        <w:t>（十一）承担区食品安全委员会日常工作。负责食品安全综合协调工作；推进食品药品质量安全诚信体系建设；督促检查有关部门和乡镇（街道）履行食品安全监督管理职责并负责考核评价。</w:t>
      </w:r>
    </w:p>
    <w:p>
      <w:pPr>
        <w:spacing w:line="405" w:lineRule="auto"/>
        <w:ind w:right="160" w:firstLine="641"/>
        <w:rPr>
          <w:rFonts w:ascii="仿宋_GB2312" w:hAnsi="仿宋_GB2312" w:eastAsia="仿宋_GB2312" w:cs="Arial"/>
          <w:sz w:val="32"/>
          <w:szCs w:val="32"/>
        </w:rPr>
      </w:pPr>
      <w:r>
        <w:rPr>
          <w:rFonts w:hint="eastAsia" w:ascii="仿宋_GB2312" w:hAnsi="仿宋_GB2312" w:eastAsia="仿宋_GB2312" w:cs="仿宋_GB2312"/>
          <w:sz w:val="32"/>
          <w:szCs w:val="32"/>
        </w:rPr>
        <w:t>（十二）组织指导消费者协会、私营企业协会、个体劳动者协会、民用品维修行业协会等有关社团的工作。</w:t>
      </w:r>
    </w:p>
    <w:p>
      <w:pPr>
        <w:spacing w:line="405" w:lineRule="auto"/>
        <w:ind w:right="160" w:firstLine="641"/>
        <w:rPr>
          <w:rFonts w:ascii="仿宋_GB2312" w:hAnsi="仿宋_GB2312" w:eastAsia="仿宋_GB2312" w:cs="Arial"/>
          <w:sz w:val="32"/>
          <w:szCs w:val="32"/>
        </w:rPr>
      </w:pPr>
      <w:r>
        <w:rPr>
          <w:rFonts w:hint="eastAsia" w:ascii="仿宋_GB2312" w:hAnsi="仿宋_GB2312" w:eastAsia="仿宋_GB2312" w:cs="仿宋_GB2312"/>
          <w:sz w:val="32"/>
          <w:szCs w:val="32"/>
        </w:rPr>
        <w:t>（十三）在职责范围内对本行业、本领域的安全生产工作实施监督管理。</w:t>
      </w:r>
    </w:p>
    <w:p>
      <w:pPr>
        <w:spacing w:line="405" w:lineRule="auto"/>
        <w:ind w:right="160" w:firstLine="641"/>
        <w:rPr>
          <w:rFonts w:ascii="仿宋_GB2312" w:hAnsi="仿宋_GB2312" w:eastAsia="仿宋_GB2312" w:cs="Arial"/>
          <w:sz w:val="32"/>
          <w:szCs w:val="32"/>
        </w:rPr>
      </w:pPr>
      <w:r>
        <w:rPr>
          <w:rFonts w:hint="eastAsia" w:ascii="仿宋_GB2312" w:hAnsi="仿宋_GB2312" w:eastAsia="仿宋_GB2312" w:cs="仿宋_GB2312"/>
          <w:sz w:val="32"/>
          <w:szCs w:val="32"/>
        </w:rPr>
        <w:t>（十四）承办区委、区政府和上级部门交办的其他事项。</w:t>
      </w:r>
    </w:p>
    <w:p>
      <w:pPr>
        <w:spacing w:line="405" w:lineRule="auto"/>
        <w:ind w:right="160" w:firstLine="641"/>
        <w:rPr>
          <w:rFonts w:ascii="仿宋_GB2312" w:hAnsi="仿宋_GB2312" w:eastAsia="仿宋_GB2312" w:cs="Arial"/>
          <w:b/>
          <w:bCs/>
          <w:sz w:val="32"/>
          <w:szCs w:val="32"/>
        </w:rPr>
      </w:pPr>
      <w:r>
        <w:rPr>
          <w:rFonts w:hint="eastAsia" w:ascii="仿宋_GB2312" w:hAnsi="仿宋_GB2312" w:eastAsia="仿宋_GB2312" w:cs="仿宋_GB2312"/>
          <w:b/>
          <w:bCs/>
          <w:sz w:val="32"/>
          <w:szCs w:val="32"/>
        </w:rPr>
        <w:t>机构设置：</w:t>
      </w:r>
    </w:p>
    <w:p>
      <w:pPr>
        <w:jc w:val="center"/>
        <w:outlineLvl w:val="0"/>
        <w:rPr>
          <w:rFonts w:ascii="方正小标宋简体" w:hAnsi="方正小标宋简体" w:eastAsia="方正小标宋简体" w:cs="Arial"/>
          <w:b/>
          <w:bCs/>
          <w:sz w:val="32"/>
          <w:szCs w:val="32"/>
        </w:rPr>
      </w:pPr>
      <w:r>
        <w:rPr>
          <w:rFonts w:hint="eastAsia" w:ascii="方正小标宋简体" w:hAnsi="方正小标宋简体" w:eastAsia="方正小标宋简体" w:cs="方正小标宋简体"/>
          <w:sz w:val="32"/>
          <w:szCs w:val="32"/>
        </w:rPr>
        <w:t>部门机构设置情况</w:t>
      </w:r>
    </w:p>
    <w:p>
      <w:pPr>
        <w:spacing w:line="117" w:lineRule="exact"/>
        <w:rPr>
          <w:rFonts w:ascii="Times New Roman" w:hAnsi="Times New Roman" w:cs="Times New Roman"/>
        </w:rPr>
      </w:pPr>
    </w:p>
    <w:tbl>
      <w:tblPr>
        <w:tblStyle w:val="8"/>
        <w:tblW w:w="97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4460"/>
        <w:gridCol w:w="1140"/>
        <w:gridCol w:w="1260"/>
        <w:gridCol w:w="29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4460" w:type="dxa"/>
            <w:vAlign w:val="center"/>
          </w:tcPr>
          <w:p>
            <w:pPr>
              <w:spacing w:line="240" w:lineRule="atLeast"/>
              <w:ind w:left="1800"/>
              <w:rPr>
                <w:rFonts w:ascii="宋体" w:cs="Arial"/>
                <w:b/>
                <w:bCs/>
              </w:rPr>
            </w:pPr>
            <w:r>
              <w:rPr>
                <w:rFonts w:hint="eastAsia" w:ascii="宋体" w:hAnsi="宋体" w:cs="宋体"/>
                <w:b/>
                <w:bCs/>
              </w:rPr>
              <w:t>单位名称</w:t>
            </w:r>
          </w:p>
        </w:tc>
        <w:tc>
          <w:tcPr>
            <w:tcW w:w="1140" w:type="dxa"/>
            <w:vAlign w:val="center"/>
          </w:tcPr>
          <w:p>
            <w:pPr>
              <w:spacing w:line="240" w:lineRule="atLeast"/>
              <w:ind w:left="120"/>
              <w:rPr>
                <w:rFonts w:ascii="宋体" w:cs="Arial"/>
                <w:b/>
                <w:bCs/>
              </w:rPr>
            </w:pPr>
            <w:r>
              <w:rPr>
                <w:rFonts w:hint="eastAsia" w:ascii="宋体" w:hAnsi="宋体" w:cs="宋体"/>
                <w:b/>
                <w:bCs/>
              </w:rPr>
              <w:t>单位性质</w:t>
            </w:r>
          </w:p>
        </w:tc>
        <w:tc>
          <w:tcPr>
            <w:tcW w:w="1260" w:type="dxa"/>
            <w:vAlign w:val="center"/>
          </w:tcPr>
          <w:p>
            <w:pPr>
              <w:spacing w:line="240" w:lineRule="atLeast"/>
              <w:ind w:left="200"/>
              <w:rPr>
                <w:rFonts w:ascii="宋体" w:cs="Arial"/>
                <w:b/>
                <w:bCs/>
              </w:rPr>
            </w:pPr>
            <w:r>
              <w:rPr>
                <w:rFonts w:hint="eastAsia" w:ascii="宋体" w:hAnsi="宋体" w:cs="宋体"/>
                <w:b/>
                <w:bCs/>
              </w:rPr>
              <w:t>单位规格</w:t>
            </w:r>
          </w:p>
        </w:tc>
        <w:tc>
          <w:tcPr>
            <w:tcW w:w="2920" w:type="dxa"/>
            <w:vAlign w:val="center"/>
          </w:tcPr>
          <w:p>
            <w:pPr>
              <w:spacing w:line="240" w:lineRule="atLeast"/>
              <w:ind w:left="820"/>
              <w:rPr>
                <w:rFonts w:ascii="宋体" w:cs="Arial"/>
                <w:b/>
                <w:bCs/>
              </w:rPr>
            </w:pPr>
            <w:r>
              <w:rPr>
                <w:rFonts w:hint="eastAsia" w:ascii="宋体" w:hAnsi="宋体" w:cs="宋体"/>
                <w:b/>
                <w:bCs/>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jc w:val="center"/>
        </w:trPr>
        <w:tc>
          <w:tcPr>
            <w:tcW w:w="4460" w:type="dxa"/>
            <w:vAlign w:val="center"/>
          </w:tcPr>
          <w:p>
            <w:pPr>
              <w:spacing w:line="240" w:lineRule="atLeast"/>
              <w:ind w:left="100"/>
              <w:rPr>
                <w:rFonts w:ascii="宋体" w:cs="Arial"/>
              </w:rPr>
            </w:pPr>
            <w:r>
              <w:rPr>
                <w:rFonts w:hint="eastAsia" w:ascii="宋体" w:hAnsi="宋体" w:cs="宋体"/>
              </w:rPr>
              <w:t>新华区市场监督管理局</w:t>
            </w:r>
          </w:p>
        </w:tc>
        <w:tc>
          <w:tcPr>
            <w:tcW w:w="1140" w:type="dxa"/>
            <w:vAlign w:val="center"/>
          </w:tcPr>
          <w:p>
            <w:pPr>
              <w:spacing w:line="240" w:lineRule="atLeast"/>
              <w:ind w:left="100"/>
              <w:rPr>
                <w:rFonts w:ascii="宋体" w:cs="Arial"/>
              </w:rPr>
            </w:pPr>
            <w:r>
              <w:rPr>
                <w:rFonts w:hint="eastAsia" w:ascii="宋体" w:hAnsi="宋体" w:cs="宋体"/>
              </w:rPr>
              <w:t>行政</w:t>
            </w:r>
          </w:p>
        </w:tc>
        <w:tc>
          <w:tcPr>
            <w:tcW w:w="1260" w:type="dxa"/>
            <w:vAlign w:val="center"/>
          </w:tcPr>
          <w:p>
            <w:pPr>
              <w:spacing w:line="240" w:lineRule="atLeast"/>
              <w:ind w:left="80"/>
              <w:rPr>
                <w:rFonts w:ascii="宋体" w:cs="Arial"/>
              </w:rPr>
            </w:pPr>
            <w:r>
              <w:rPr>
                <w:rFonts w:hint="eastAsia" w:ascii="宋体" w:hAnsi="宋体" w:cs="宋体"/>
              </w:rPr>
              <w:t>正科级</w:t>
            </w:r>
          </w:p>
        </w:tc>
        <w:tc>
          <w:tcPr>
            <w:tcW w:w="2920" w:type="dxa"/>
            <w:vAlign w:val="center"/>
          </w:tcPr>
          <w:p>
            <w:pPr>
              <w:spacing w:line="240" w:lineRule="atLeast"/>
              <w:ind w:left="100"/>
              <w:rPr>
                <w:rFonts w:ascii="宋体" w:cs="Arial"/>
              </w:rPr>
            </w:pPr>
            <w:r>
              <w:rPr>
                <w:rFonts w:hint="eastAsia" w:ascii="宋体" w:hAnsi="宋体" w:cs="宋体"/>
              </w:rPr>
              <w:t>财政拨款</w:t>
            </w:r>
          </w:p>
        </w:tc>
      </w:tr>
    </w:tbl>
    <w:p>
      <w:pPr>
        <w:numPr>
          <w:ilvl w:val="0"/>
          <w:numId w:val="1"/>
        </w:numPr>
        <w:spacing w:beforeLines="50"/>
        <w:ind w:firstLine="641"/>
        <w:rPr>
          <w:rFonts w:ascii="黑体" w:hAnsi="黑体" w:eastAsia="黑体" w:cs="Arial"/>
          <w:sz w:val="32"/>
          <w:szCs w:val="32"/>
        </w:rPr>
      </w:pPr>
      <w:r>
        <w:rPr>
          <w:rFonts w:hint="eastAsia" w:ascii="黑体" w:hAnsi="黑体" w:eastAsia="黑体" w:cs="黑体"/>
          <w:sz w:val="32"/>
          <w:szCs w:val="32"/>
        </w:rPr>
        <w:t>部门预算安排的总体情况</w:t>
      </w:r>
    </w:p>
    <w:p>
      <w:pPr>
        <w:spacing w:line="405" w:lineRule="auto"/>
        <w:ind w:right="160" w:firstLine="641"/>
        <w:rPr>
          <w:rFonts w:ascii="宋体" w:cs="Arial"/>
          <w:sz w:val="32"/>
          <w:szCs w:val="32"/>
        </w:rPr>
      </w:pPr>
      <w:r>
        <w:rPr>
          <w:rFonts w:hint="eastAsia" w:ascii="仿宋_GB2312" w:hAnsi="Times New Roman" w:eastAsia="仿宋_GB2312" w:cs="仿宋_GB2312"/>
          <w:sz w:val="32"/>
          <w:szCs w:val="32"/>
        </w:rPr>
        <w:t>按照预算管理有关规定，目前我区部门预算的编制实行综合预算管理，即全部收入和支出都反映在预算中。</w:t>
      </w:r>
    </w:p>
    <w:p>
      <w:pPr>
        <w:spacing w:line="405" w:lineRule="auto"/>
        <w:ind w:right="160" w:firstLine="641"/>
        <w:rPr>
          <w:rFonts w:ascii="宋体" w:cs="Arial"/>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、收入说明</w:t>
      </w:r>
    </w:p>
    <w:p>
      <w:pPr>
        <w:ind w:firstLine="640"/>
        <w:rPr>
          <w:rFonts w:ascii="Times New Roman" w:hAnsi="Times New Roman" w:eastAsia="仿宋" w:cs="Arial"/>
          <w:sz w:val="32"/>
          <w:szCs w:val="32"/>
        </w:rPr>
      </w:pP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年预算收入</w:t>
      </w:r>
      <w:r>
        <w:rPr>
          <w:rFonts w:ascii="仿宋_GB2312" w:hAnsi="仿宋_GB2312" w:eastAsia="仿宋_GB2312" w:cs="仿宋_GB2312"/>
          <w:sz w:val="32"/>
          <w:szCs w:val="32"/>
        </w:rPr>
        <w:t>3484.62</w:t>
      </w:r>
      <w:r>
        <w:rPr>
          <w:rFonts w:hint="eastAsia" w:ascii="仿宋_GB2312" w:hAnsi="仿宋_GB2312" w:eastAsia="仿宋_GB2312" w:cs="仿宋_GB2312"/>
          <w:sz w:val="32"/>
          <w:szCs w:val="32"/>
        </w:rPr>
        <w:t>万元，其中：一般公共预算拨款</w:t>
      </w:r>
      <w:r>
        <w:rPr>
          <w:rFonts w:ascii="仿宋_GB2312" w:hAnsi="仿宋_GB2312" w:eastAsia="仿宋_GB2312" w:cs="仿宋_GB2312"/>
          <w:sz w:val="32"/>
          <w:szCs w:val="32"/>
        </w:rPr>
        <w:t>3484.62</w:t>
      </w:r>
      <w:r>
        <w:rPr>
          <w:rFonts w:hint="eastAsia" w:ascii="仿宋_GB2312" w:hAnsi="仿宋_GB2312" w:eastAsia="仿宋_GB2312" w:cs="仿宋_GB2312"/>
          <w:sz w:val="32"/>
          <w:szCs w:val="32"/>
        </w:rPr>
        <w:t>万元，基金预算收入</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万元，财政专户核拨收入</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万元，其他来源收入</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万元。</w:t>
      </w:r>
      <w:r>
        <w:rPr>
          <w:rFonts w:ascii="仿宋_GB2312" w:hAnsi="仿宋_GB2312" w:eastAsia="仿宋_GB2312" w:cs="仿宋_GB2312"/>
          <w:sz w:val="32"/>
          <w:szCs w:val="32"/>
        </w:rPr>
        <w:t xml:space="preserve"> </w:t>
      </w:r>
    </w:p>
    <w:p>
      <w:pPr>
        <w:spacing w:line="405" w:lineRule="auto"/>
        <w:ind w:right="160" w:firstLine="641"/>
        <w:rPr>
          <w:rFonts w:ascii="宋体" w:cs="Arial"/>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、支出说明</w:t>
      </w:r>
    </w:p>
    <w:p>
      <w:pPr>
        <w:ind w:firstLine="630"/>
        <w:rPr>
          <w:rFonts w:ascii="仿宋_GB2312" w:hAnsi="仿宋_GB2312" w:eastAsia="仿宋_GB2312" w:cs="仿宋_GB2312"/>
          <w:sz w:val="32"/>
          <w:szCs w:val="32"/>
        </w:rPr>
      </w:pP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年支出预算</w:t>
      </w:r>
      <w:r>
        <w:rPr>
          <w:rFonts w:ascii="仿宋_GB2312" w:hAnsi="仿宋_GB2312" w:eastAsia="仿宋_GB2312" w:cs="仿宋_GB2312"/>
          <w:sz w:val="32"/>
          <w:szCs w:val="32"/>
        </w:rPr>
        <w:t>3484.62</w:t>
      </w:r>
      <w:r>
        <w:rPr>
          <w:rFonts w:hint="eastAsia" w:ascii="仿宋_GB2312" w:hAnsi="仿宋_GB2312" w:eastAsia="仿宋_GB2312" w:cs="仿宋_GB2312"/>
          <w:sz w:val="32"/>
          <w:szCs w:val="32"/>
        </w:rPr>
        <w:t>万元，其中：基本支出</w:t>
      </w:r>
      <w:r>
        <w:rPr>
          <w:rFonts w:ascii="仿宋_GB2312" w:hAnsi="仿宋_GB2312" w:eastAsia="仿宋_GB2312" w:cs="仿宋_GB2312"/>
          <w:sz w:val="32"/>
          <w:szCs w:val="32"/>
        </w:rPr>
        <w:t>2556.69</w:t>
      </w:r>
      <w:r>
        <w:rPr>
          <w:rFonts w:hint="eastAsia" w:ascii="仿宋_GB2312" w:hAnsi="仿宋_GB2312" w:eastAsia="仿宋_GB2312" w:cs="仿宋_GB2312"/>
          <w:sz w:val="32"/>
          <w:szCs w:val="32"/>
        </w:rPr>
        <w:t>万元，包括人员经费</w:t>
      </w:r>
      <w:r>
        <w:rPr>
          <w:rFonts w:ascii="仿宋_GB2312" w:hAnsi="仿宋_GB2312" w:eastAsia="仿宋_GB2312" w:cs="仿宋_GB2312"/>
          <w:sz w:val="32"/>
          <w:szCs w:val="32"/>
        </w:rPr>
        <w:t>2137.85</w:t>
      </w:r>
      <w:r>
        <w:rPr>
          <w:rFonts w:hint="eastAsia" w:ascii="仿宋_GB2312" w:hAnsi="仿宋_GB2312" w:eastAsia="仿宋_GB2312" w:cs="仿宋_GB2312"/>
          <w:sz w:val="32"/>
          <w:szCs w:val="32"/>
        </w:rPr>
        <w:t>万元，日常公用经费</w:t>
      </w:r>
      <w:r>
        <w:rPr>
          <w:rFonts w:ascii="仿宋_GB2312" w:hAnsi="仿宋_GB2312" w:eastAsia="仿宋_GB2312" w:cs="仿宋_GB2312"/>
          <w:sz w:val="32"/>
          <w:szCs w:val="32"/>
        </w:rPr>
        <w:t>418.84</w:t>
      </w:r>
      <w:r>
        <w:rPr>
          <w:rFonts w:hint="eastAsia" w:ascii="仿宋_GB2312" w:hAnsi="仿宋_GB2312" w:eastAsia="仿宋_GB2312" w:cs="仿宋_GB2312"/>
          <w:sz w:val="32"/>
          <w:szCs w:val="32"/>
        </w:rPr>
        <w:t>万元；项目支出</w:t>
      </w:r>
      <w:r>
        <w:rPr>
          <w:rFonts w:ascii="仿宋_GB2312" w:hAnsi="仿宋_GB2312" w:eastAsia="仿宋_GB2312" w:cs="仿宋_GB2312"/>
          <w:sz w:val="32"/>
          <w:szCs w:val="32"/>
        </w:rPr>
        <w:t>927.93</w:t>
      </w:r>
      <w:r>
        <w:rPr>
          <w:rFonts w:hint="eastAsia" w:ascii="仿宋_GB2312" w:hAnsi="仿宋_GB2312" w:eastAsia="仿宋_GB2312" w:cs="仿宋_GB2312"/>
          <w:sz w:val="32"/>
          <w:szCs w:val="32"/>
        </w:rPr>
        <w:t>万元，包括工商管理事务</w:t>
      </w:r>
      <w:r>
        <w:rPr>
          <w:rFonts w:ascii="仿宋_GB2312" w:hAnsi="仿宋_GB2312" w:eastAsia="仿宋_GB2312" w:cs="仿宋_GB2312"/>
          <w:sz w:val="32"/>
          <w:szCs w:val="32"/>
        </w:rPr>
        <w:t>276.30</w:t>
      </w:r>
      <w:r>
        <w:rPr>
          <w:rFonts w:hint="eastAsia" w:ascii="仿宋_GB2312" w:hAnsi="仿宋_GB2312" w:eastAsia="仿宋_GB2312" w:cs="仿宋_GB2312"/>
          <w:sz w:val="32"/>
          <w:szCs w:val="32"/>
        </w:rPr>
        <w:t>万元，执法办案</w:t>
      </w:r>
      <w:r>
        <w:rPr>
          <w:rFonts w:ascii="仿宋_GB2312" w:hAnsi="仿宋_GB2312" w:eastAsia="仿宋_GB2312" w:cs="仿宋_GB2312"/>
          <w:sz w:val="32"/>
          <w:szCs w:val="32"/>
        </w:rPr>
        <w:t>129.23</w:t>
      </w:r>
      <w:r>
        <w:rPr>
          <w:rFonts w:hint="eastAsia" w:ascii="仿宋_GB2312" w:hAnsi="仿宋_GB2312" w:eastAsia="仿宋_GB2312" w:cs="仿宋_GB2312"/>
          <w:sz w:val="32"/>
          <w:szCs w:val="32"/>
        </w:rPr>
        <w:t>万元，消费者权益保护</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万元，食品安全管理</w:t>
      </w:r>
      <w:r>
        <w:rPr>
          <w:rFonts w:ascii="仿宋_GB2312" w:hAnsi="仿宋_GB2312" w:eastAsia="仿宋_GB2312" w:cs="仿宋_GB2312"/>
          <w:sz w:val="32"/>
          <w:szCs w:val="32"/>
        </w:rPr>
        <w:t>371.12</w:t>
      </w:r>
      <w:r>
        <w:rPr>
          <w:rFonts w:hint="eastAsia" w:ascii="仿宋_GB2312" w:hAnsi="仿宋_GB2312" w:eastAsia="仿宋_GB2312" w:cs="仿宋_GB2312"/>
          <w:sz w:val="32"/>
          <w:szCs w:val="32"/>
        </w:rPr>
        <w:t>万元，药品安全管理</w:t>
      </w:r>
      <w:r>
        <w:rPr>
          <w:rFonts w:ascii="仿宋_GB2312" w:hAnsi="仿宋_GB2312" w:eastAsia="仿宋_GB2312" w:cs="仿宋_GB2312"/>
          <w:sz w:val="32"/>
          <w:szCs w:val="32"/>
        </w:rPr>
        <w:t>15</w:t>
      </w:r>
      <w:r>
        <w:rPr>
          <w:rFonts w:hint="eastAsia" w:ascii="仿宋_GB2312" w:hAnsi="仿宋_GB2312" w:eastAsia="仿宋_GB2312" w:cs="仿宋_GB2312"/>
          <w:sz w:val="32"/>
          <w:szCs w:val="32"/>
        </w:rPr>
        <w:t>万元</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，政务管理</w:t>
      </w:r>
      <w:r>
        <w:rPr>
          <w:rFonts w:ascii="仿宋_GB2312" w:hAnsi="仿宋_GB2312" w:eastAsia="仿宋_GB2312" w:cs="仿宋_GB2312"/>
          <w:sz w:val="32"/>
          <w:szCs w:val="32"/>
        </w:rPr>
        <w:t>133.28</w:t>
      </w:r>
      <w:r>
        <w:rPr>
          <w:rFonts w:hint="eastAsia" w:ascii="仿宋_GB2312" w:hAnsi="仿宋_GB2312" w:eastAsia="仿宋_GB2312" w:cs="仿宋_GB2312"/>
          <w:sz w:val="32"/>
          <w:szCs w:val="32"/>
        </w:rPr>
        <w:t>万元。</w:t>
      </w:r>
      <w:r>
        <w:rPr>
          <w:rFonts w:ascii="仿宋_GB2312" w:hAnsi="仿宋_GB2312" w:eastAsia="仿宋_GB2312" w:cs="仿宋_GB2312"/>
          <w:sz w:val="32"/>
          <w:szCs w:val="32"/>
        </w:rPr>
        <w:t xml:space="preserve"> </w:t>
      </w:r>
    </w:p>
    <w:p>
      <w:pPr>
        <w:spacing w:line="405" w:lineRule="auto"/>
        <w:ind w:right="160" w:firstLine="641"/>
        <w:rPr>
          <w:rFonts w:ascii="宋体" w:cs="Arial"/>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、比上年增减情况</w:t>
      </w:r>
    </w:p>
    <w:p>
      <w:pPr>
        <w:spacing w:line="560" w:lineRule="exact"/>
        <w:ind w:firstLine="640" w:firstLineChars="200"/>
        <w:rPr>
          <w:rFonts w:ascii="仿宋" w:hAnsi="仿宋" w:eastAsia="仿宋" w:cs="Arial"/>
          <w:sz w:val="32"/>
          <w:szCs w:val="32"/>
        </w:rPr>
      </w:pP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年预算收支安排</w:t>
      </w:r>
      <w:r>
        <w:rPr>
          <w:rFonts w:ascii="仿宋_GB2312" w:hAnsi="仿宋_GB2312" w:eastAsia="仿宋_GB2312" w:cs="仿宋_GB2312"/>
          <w:sz w:val="32"/>
          <w:szCs w:val="32"/>
        </w:rPr>
        <w:t>3484.62</w:t>
      </w:r>
      <w:r>
        <w:rPr>
          <w:rFonts w:hint="eastAsia" w:ascii="仿宋_GB2312" w:hAnsi="仿宋_GB2312" w:eastAsia="仿宋_GB2312" w:cs="仿宋_GB2312"/>
          <w:sz w:val="32"/>
          <w:szCs w:val="32"/>
        </w:rPr>
        <w:t>万元，较</w:t>
      </w:r>
      <w:r>
        <w:rPr>
          <w:rFonts w:ascii="仿宋_GB2312" w:hAnsi="仿宋_GB2312" w:eastAsia="仿宋_GB2312" w:cs="仿宋_GB2312"/>
          <w:sz w:val="32"/>
          <w:szCs w:val="32"/>
        </w:rPr>
        <w:t>2018</w:t>
      </w:r>
      <w:r>
        <w:rPr>
          <w:rFonts w:hint="eastAsia" w:ascii="仿宋_GB2312" w:hAnsi="仿宋_GB2312" w:eastAsia="仿宋_GB2312" w:cs="仿宋_GB2312"/>
          <w:sz w:val="32"/>
          <w:szCs w:val="32"/>
        </w:rPr>
        <w:t>年预算减少</w:t>
      </w:r>
      <w:r>
        <w:rPr>
          <w:rFonts w:ascii="仿宋_GB2312" w:hAnsi="仿宋_GB2312" w:eastAsia="仿宋_GB2312" w:cs="仿宋_GB2312"/>
          <w:sz w:val="32"/>
          <w:szCs w:val="32"/>
        </w:rPr>
        <w:t>680.04</w:t>
      </w:r>
      <w:r>
        <w:rPr>
          <w:rFonts w:hint="eastAsia" w:ascii="仿宋_GB2312" w:hAnsi="仿宋_GB2312" w:eastAsia="仿宋_GB2312" w:cs="仿宋_GB2312"/>
          <w:sz w:val="32"/>
          <w:szCs w:val="32"/>
        </w:rPr>
        <w:t>万元，其中：基本支出减少</w:t>
      </w:r>
      <w:r>
        <w:rPr>
          <w:rFonts w:ascii="仿宋_GB2312" w:hAnsi="仿宋_GB2312" w:eastAsia="仿宋_GB2312" w:cs="仿宋_GB2312"/>
          <w:sz w:val="32"/>
          <w:szCs w:val="32"/>
        </w:rPr>
        <w:t>705.35</w:t>
      </w:r>
      <w:r>
        <w:rPr>
          <w:rFonts w:hint="eastAsia" w:ascii="仿宋_GB2312" w:hAnsi="仿宋_GB2312" w:eastAsia="仿宋_GB2312" w:cs="仿宋_GB2312"/>
          <w:sz w:val="32"/>
          <w:szCs w:val="32"/>
        </w:rPr>
        <w:t>万元，主要为人员经费减少</w:t>
      </w:r>
      <w:r>
        <w:rPr>
          <w:rFonts w:ascii="仿宋" w:hAnsi="仿宋" w:eastAsia="仿宋" w:cs="仿宋"/>
          <w:sz w:val="32"/>
          <w:szCs w:val="32"/>
        </w:rPr>
        <w:t>662.04</w:t>
      </w:r>
      <w:r>
        <w:rPr>
          <w:rFonts w:hint="eastAsia" w:ascii="仿宋" w:hAnsi="仿宋" w:eastAsia="仿宋" w:cs="仿宋"/>
          <w:sz w:val="32"/>
          <w:szCs w:val="32"/>
        </w:rPr>
        <w:t>万元、划转审批局人员减少日常公用</w:t>
      </w:r>
      <w:r>
        <w:rPr>
          <w:rFonts w:ascii="仿宋" w:hAnsi="仿宋" w:eastAsia="仿宋" w:cs="仿宋"/>
          <w:sz w:val="32"/>
          <w:szCs w:val="32"/>
        </w:rPr>
        <w:t>43.31</w:t>
      </w:r>
      <w:r>
        <w:rPr>
          <w:rFonts w:hint="eastAsia" w:ascii="仿宋" w:hAnsi="仿宋" w:eastAsia="仿宋" w:cs="仿宋"/>
          <w:sz w:val="32"/>
          <w:szCs w:val="32"/>
        </w:rPr>
        <w:t>万元；</w:t>
      </w:r>
      <w:r>
        <w:rPr>
          <w:rFonts w:hint="eastAsia" w:ascii="仿宋_GB2312" w:hAnsi="仿宋_GB2312" w:eastAsia="仿宋_GB2312" w:cs="仿宋_GB2312"/>
          <w:sz w:val="32"/>
          <w:szCs w:val="32"/>
        </w:rPr>
        <w:t>项目经费增加</w:t>
      </w:r>
      <w:r>
        <w:rPr>
          <w:rFonts w:ascii="仿宋_GB2312" w:hAnsi="仿宋_GB2312" w:eastAsia="仿宋_GB2312" w:cs="仿宋_GB2312"/>
          <w:sz w:val="32"/>
          <w:szCs w:val="32"/>
        </w:rPr>
        <w:t>25.31</w:t>
      </w:r>
      <w:r>
        <w:rPr>
          <w:rFonts w:hint="eastAsia" w:ascii="仿宋_GB2312" w:hAnsi="仿宋_GB2312" w:eastAsia="仿宋_GB2312" w:cs="仿宋_GB2312"/>
          <w:sz w:val="32"/>
          <w:szCs w:val="32"/>
        </w:rPr>
        <w:t>万元，主要为工商管理事务中提前下达</w:t>
      </w: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年市场监管补助经费（上级财政提前通知转移支付）</w:t>
      </w:r>
      <w:r>
        <w:rPr>
          <w:rFonts w:ascii="仿宋_GB2312" w:hAnsi="仿宋_GB2312" w:eastAsia="仿宋_GB2312" w:cs="仿宋_GB2312"/>
          <w:sz w:val="32"/>
          <w:szCs w:val="32"/>
        </w:rPr>
        <w:t>24</w:t>
      </w:r>
      <w:r>
        <w:rPr>
          <w:rFonts w:hint="eastAsia" w:ascii="仿宋_GB2312" w:hAnsi="仿宋_GB2312" w:eastAsia="仿宋_GB2312" w:cs="仿宋_GB2312"/>
          <w:sz w:val="32"/>
          <w:szCs w:val="32"/>
        </w:rPr>
        <w:t>万元，</w:t>
      </w:r>
      <w:r>
        <w:rPr>
          <w:rFonts w:hint="eastAsia" w:ascii="仿宋" w:hAnsi="仿宋" w:eastAsia="仿宋" w:cs="仿宋"/>
          <w:sz w:val="32"/>
          <w:szCs w:val="32"/>
        </w:rPr>
        <w:t>机构改革制服配备经费增加及食品安全管理经费增加。</w:t>
      </w:r>
    </w:p>
    <w:p>
      <w:pPr>
        <w:autoSpaceDE w:val="0"/>
        <w:autoSpaceDN w:val="0"/>
        <w:adjustRightInd w:val="0"/>
        <w:spacing w:beforeLines="50"/>
        <w:ind w:left="198" w:firstLine="640" w:firstLineChars="200"/>
        <w:jc w:val="left"/>
        <w:rPr>
          <w:rFonts w:ascii="黑体" w:hAnsi="黑体" w:eastAsia="黑体" w:cs="Arial"/>
          <w:sz w:val="32"/>
          <w:szCs w:val="32"/>
        </w:rPr>
      </w:pPr>
      <w:r>
        <w:rPr>
          <w:rFonts w:hint="eastAsia" w:ascii="黑体" w:hAnsi="黑体" w:eastAsia="黑体" w:cs="黑体"/>
          <w:sz w:val="32"/>
          <w:szCs w:val="32"/>
        </w:rPr>
        <w:t>三、机关运行经费安排情况</w:t>
      </w:r>
    </w:p>
    <w:p>
      <w:pPr>
        <w:spacing w:line="406" w:lineRule="auto"/>
        <w:ind w:firstLine="660"/>
        <w:rPr>
          <w:rFonts w:ascii="仿宋_GB2312" w:hAnsi="仿宋_GB2312" w:eastAsia="仿宋_GB2312" w:cs="Arial"/>
          <w:sz w:val="32"/>
          <w:szCs w:val="32"/>
        </w:rPr>
      </w:pP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年机关运行经费共计安排</w:t>
      </w:r>
      <w:r>
        <w:rPr>
          <w:rFonts w:ascii="仿宋_GB2312" w:hAnsi="仿宋_GB2312" w:eastAsia="仿宋_GB2312" w:cs="仿宋_GB2312"/>
          <w:sz w:val="32"/>
          <w:szCs w:val="32"/>
        </w:rPr>
        <w:t>418.84</w:t>
      </w:r>
      <w:r>
        <w:rPr>
          <w:rFonts w:hint="eastAsia" w:ascii="仿宋_GB2312" w:hAnsi="仿宋_GB2312" w:eastAsia="仿宋_GB2312" w:cs="仿宋_GB2312"/>
          <w:sz w:val="32"/>
          <w:szCs w:val="32"/>
        </w:rPr>
        <w:t>万元，主要用于办公费、办公用房水电费、办公用房取暖费邮电费、公务交通补贴等日常运行支出。</w:t>
      </w:r>
    </w:p>
    <w:p>
      <w:pPr>
        <w:autoSpaceDE w:val="0"/>
        <w:autoSpaceDN w:val="0"/>
        <w:adjustRightInd w:val="0"/>
        <w:ind w:left="198" w:firstLine="640" w:firstLineChars="200"/>
        <w:jc w:val="left"/>
        <w:rPr>
          <w:rFonts w:ascii="黑体" w:hAnsi="黑体" w:eastAsia="黑体" w:cs="Arial"/>
          <w:sz w:val="32"/>
          <w:szCs w:val="32"/>
        </w:rPr>
      </w:pPr>
      <w:r>
        <w:rPr>
          <w:rFonts w:hint="eastAsia" w:ascii="黑体" w:hAnsi="黑体" w:eastAsia="黑体" w:cs="黑体"/>
          <w:sz w:val="32"/>
          <w:szCs w:val="32"/>
        </w:rPr>
        <w:t>四、财政拨款“三公”经费预算情况及增减变化原因</w:t>
      </w:r>
    </w:p>
    <w:p>
      <w:pPr>
        <w:spacing w:line="560" w:lineRule="exact"/>
        <w:ind w:firstLine="640" w:firstLineChars="200"/>
        <w:rPr>
          <w:rFonts w:ascii="仿宋_GB2312" w:hAnsi="仿宋_GB2312" w:eastAsia="仿宋_GB2312" w:cs="Arial"/>
          <w:sz w:val="32"/>
          <w:szCs w:val="32"/>
        </w:rPr>
      </w:pPr>
      <w:r>
        <w:rPr>
          <w:rFonts w:ascii="仿宋_GB2312" w:hAnsi="仿宋_GB2312" w:eastAsia="仿宋_GB2312" w:cs="仿宋_GB2312"/>
          <w:sz w:val="32"/>
          <w:szCs w:val="32"/>
        </w:rPr>
        <w:t>2019</w:t>
      </w:r>
      <w:r>
        <w:rPr>
          <w:rFonts w:hint="eastAsia" w:ascii="仿宋_GB2312" w:hAnsi="仿宋_GB2312" w:eastAsia="仿宋_GB2312" w:cs="仿宋_GB2312"/>
          <w:sz w:val="32"/>
          <w:szCs w:val="32"/>
        </w:rPr>
        <w:t>年“三公”经费财政拨款预算数为</w:t>
      </w:r>
      <w:r>
        <w:rPr>
          <w:rFonts w:ascii="仿宋_GB2312" w:hAnsi="仿宋_GB2312" w:eastAsia="仿宋_GB2312" w:cs="仿宋_GB2312"/>
          <w:sz w:val="32"/>
          <w:szCs w:val="32"/>
        </w:rPr>
        <w:t>61.45</w:t>
      </w:r>
      <w:r>
        <w:rPr>
          <w:rFonts w:hint="eastAsia" w:ascii="仿宋_GB2312" w:hAnsi="仿宋_GB2312" w:eastAsia="仿宋_GB2312" w:cs="仿宋_GB2312"/>
          <w:sz w:val="32"/>
          <w:szCs w:val="32"/>
        </w:rPr>
        <w:t>万元，其中因公出国（境）费</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；公务用车购置及运行费</w:t>
      </w:r>
      <w:r>
        <w:rPr>
          <w:rFonts w:ascii="仿宋_GB2312" w:hAnsi="仿宋_GB2312" w:eastAsia="仿宋_GB2312" w:cs="仿宋_GB2312"/>
          <w:sz w:val="32"/>
          <w:szCs w:val="32"/>
        </w:rPr>
        <w:t>57</w:t>
      </w:r>
      <w:r>
        <w:rPr>
          <w:rFonts w:hint="eastAsia" w:ascii="仿宋_GB2312" w:hAnsi="仿宋_GB2312" w:eastAsia="仿宋_GB2312" w:cs="仿宋_GB2312"/>
          <w:sz w:val="32"/>
          <w:szCs w:val="32"/>
        </w:rPr>
        <w:t>万元（其中：公务用车购置费为</w:t>
      </w:r>
      <w:r>
        <w:rPr>
          <w:rFonts w:ascii="仿宋_GB2312" w:hAnsi="仿宋_GB2312" w:eastAsia="仿宋_GB2312" w:cs="仿宋_GB2312"/>
          <w:sz w:val="32"/>
          <w:szCs w:val="32"/>
        </w:rPr>
        <w:t>0</w:t>
      </w:r>
      <w:r>
        <w:rPr>
          <w:rFonts w:hint="eastAsia" w:ascii="仿宋_GB2312" w:hAnsi="仿宋_GB2312" w:eastAsia="仿宋_GB2312" w:cs="仿宋_GB2312"/>
          <w:sz w:val="32"/>
          <w:szCs w:val="32"/>
        </w:rPr>
        <w:t>，公务用车运行费</w:t>
      </w:r>
      <w:r>
        <w:rPr>
          <w:rFonts w:ascii="仿宋_GB2312" w:hAnsi="仿宋_GB2312" w:eastAsia="仿宋_GB2312" w:cs="仿宋_GB2312"/>
          <w:sz w:val="32"/>
          <w:szCs w:val="32"/>
        </w:rPr>
        <w:t>57</w:t>
      </w:r>
      <w:r>
        <w:rPr>
          <w:rFonts w:hint="eastAsia" w:ascii="仿宋_GB2312" w:hAnsi="仿宋_GB2312" w:eastAsia="仿宋_GB2312" w:cs="仿宋_GB2312"/>
          <w:sz w:val="32"/>
          <w:szCs w:val="32"/>
        </w:rPr>
        <w:t>万元）；公务接待费</w:t>
      </w:r>
      <w:r>
        <w:rPr>
          <w:rFonts w:ascii="仿宋_GB2312" w:hAnsi="仿宋_GB2312" w:eastAsia="仿宋_GB2312" w:cs="仿宋_GB2312"/>
          <w:sz w:val="32"/>
          <w:szCs w:val="32"/>
        </w:rPr>
        <w:t>4.45</w:t>
      </w:r>
      <w:r>
        <w:rPr>
          <w:rFonts w:hint="eastAsia" w:ascii="仿宋_GB2312" w:hAnsi="仿宋_GB2312" w:eastAsia="仿宋_GB2312" w:cs="仿宋_GB2312"/>
          <w:sz w:val="32"/>
          <w:szCs w:val="32"/>
        </w:rPr>
        <w:t>万元。与</w:t>
      </w:r>
      <w:r>
        <w:rPr>
          <w:rFonts w:ascii="仿宋_GB2312" w:hAnsi="仿宋_GB2312" w:eastAsia="仿宋_GB2312" w:cs="仿宋_GB2312"/>
          <w:sz w:val="32"/>
          <w:szCs w:val="32"/>
        </w:rPr>
        <w:t>2018</w:t>
      </w:r>
      <w:r>
        <w:rPr>
          <w:rFonts w:hint="eastAsia" w:ascii="仿宋_GB2312" w:hAnsi="仿宋_GB2312" w:eastAsia="仿宋_GB2312" w:cs="仿宋_GB2312"/>
          <w:sz w:val="32"/>
          <w:szCs w:val="32"/>
        </w:rPr>
        <w:t>年度预算数相比减少</w:t>
      </w:r>
      <w:r>
        <w:rPr>
          <w:rFonts w:ascii="仿宋_GB2312" w:hAnsi="仿宋_GB2312" w:eastAsia="仿宋_GB2312" w:cs="仿宋_GB2312"/>
          <w:sz w:val="32"/>
          <w:szCs w:val="32"/>
        </w:rPr>
        <w:t>15</w:t>
      </w:r>
      <w:r>
        <w:rPr>
          <w:rFonts w:hint="eastAsia" w:ascii="仿宋_GB2312" w:hAnsi="仿宋_GB2312" w:eastAsia="仿宋_GB2312" w:cs="仿宋_GB2312"/>
          <w:sz w:val="32"/>
          <w:szCs w:val="32"/>
        </w:rPr>
        <w:t>万元，减少的主要原因减少了</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辆执法车辆，相应减少公务用车运维费；公务接待费、因公出国（境）费与</w:t>
      </w:r>
      <w:r>
        <w:rPr>
          <w:rFonts w:ascii="仿宋_GB2312" w:hAnsi="仿宋_GB2312" w:eastAsia="仿宋_GB2312" w:cs="仿宋_GB2312"/>
          <w:sz w:val="32"/>
          <w:szCs w:val="32"/>
        </w:rPr>
        <w:t>2018</w:t>
      </w:r>
      <w:r>
        <w:rPr>
          <w:rFonts w:hint="eastAsia" w:ascii="仿宋_GB2312" w:hAnsi="仿宋_GB2312" w:eastAsia="仿宋_GB2312" w:cs="仿宋_GB2312"/>
          <w:sz w:val="32"/>
          <w:szCs w:val="32"/>
        </w:rPr>
        <w:t>年持平，无增减变化。</w:t>
      </w:r>
    </w:p>
    <w:p>
      <w:pPr>
        <w:spacing w:beforeLines="50"/>
        <w:ind w:firstLine="641"/>
        <w:rPr>
          <w:rFonts w:ascii="黑体" w:hAnsi="黑体" w:eastAsia="黑体" w:cs="Arial"/>
          <w:sz w:val="32"/>
          <w:szCs w:val="32"/>
        </w:rPr>
      </w:pPr>
      <w:r>
        <w:rPr>
          <w:rFonts w:hint="eastAsia" w:ascii="黑体" w:hAnsi="黑体" w:eastAsia="黑体" w:cs="黑体"/>
          <w:sz w:val="32"/>
          <w:szCs w:val="32"/>
        </w:rPr>
        <w:t>五、绩效预算信息</w:t>
      </w:r>
    </w:p>
    <w:p>
      <w:pPr>
        <w:ind w:firstLine="643" w:firstLineChars="200"/>
        <w:jc w:val="left"/>
        <w:rPr>
          <w:rFonts w:ascii="仿宋_GB2312" w:hAnsi="仿宋_GB2312" w:eastAsia="仿宋_GB2312" w:cs="Arial"/>
          <w:b/>
          <w:bCs/>
          <w:sz w:val="32"/>
          <w:szCs w:val="32"/>
        </w:rPr>
      </w:pPr>
      <w:bookmarkStart w:id="0" w:name="_Toc471398463"/>
      <w:r>
        <w:rPr>
          <w:rFonts w:hint="eastAsia" w:ascii="仿宋_GB2312" w:hAnsi="仿宋_GB2312" w:eastAsia="仿宋_GB2312" w:cs="仿宋_GB2312"/>
          <w:b/>
          <w:bCs/>
          <w:sz w:val="32"/>
          <w:szCs w:val="32"/>
        </w:rPr>
        <w:t>总体绩效目标：</w:t>
      </w:r>
    </w:p>
    <w:p>
      <w:pPr>
        <w:spacing w:line="405" w:lineRule="auto"/>
        <w:ind w:right="160" w:firstLine="641"/>
        <w:rPr>
          <w:rFonts w:ascii="仿宋_GB2312" w:hAnsi="仿宋_GB2312" w:eastAsia="仿宋_GB2312" w:cs="Arial"/>
          <w:sz w:val="32"/>
          <w:szCs w:val="32"/>
        </w:rPr>
      </w:pPr>
      <w:r>
        <w:rPr>
          <w:rFonts w:hint="eastAsia" w:ascii="仿宋_GB2312" w:hAnsi="仿宋_GB2312" w:eastAsia="仿宋_GB2312" w:cs="仿宋_GB2312"/>
          <w:sz w:val="32"/>
          <w:szCs w:val="32"/>
        </w:rPr>
        <w:t>按照新华区委区政府的安排部署，以新理念引领新发展，以新举措适应新常态，以深化服务发展、监管执法、消费维权、食药安全为目标，以队伍建设和作风建设为保障，狠抓改革创新，强化市场监管，加强队伍建设，推进依法行政，努力营造宽松平等的准入环境、公平竞争的市场环境和安全放心的消费环境，在新常态下开创市场监管新局面，为促进全区经济平稳健康发展和社会和谐稳定做出新贡献。</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、提质增信，依法监管，营造公平竞争的市场环境。要不断创新监管理念，转变监管方式，完善监管机制，突出监管重点，加强事中事后监管，提高市场监管能力现代化。</w:t>
      </w:r>
      <w:r>
        <w:rPr>
          <w:rFonts w:ascii="仿宋_GB2312" w:hAnsi="仿宋_GB2312" w:eastAsia="仿宋_GB2312" w:cs="仿宋_GB2312"/>
          <w:sz w:val="32"/>
          <w:szCs w:val="32"/>
        </w:rPr>
        <w:t>2</w:t>
      </w:r>
      <w:r>
        <w:rPr>
          <w:rFonts w:hint="eastAsia" w:ascii="仿宋_GB2312" w:hAnsi="仿宋_GB2312" w:eastAsia="仿宋_GB2312" w:cs="仿宋_GB2312"/>
          <w:sz w:val="32"/>
          <w:szCs w:val="32"/>
        </w:rPr>
        <w:t>、提监增防，严格履职，着力提高食药安全监管效能。以落实食品安全法为主线，加强市场监管和体系建设，确保辖区人民饮食用药安全。</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、提档增力，大力维权，为释放消费潜力创造良好条件。要结合消费的重点、热点、难点问题，进一步加大消费维权工作力度，努力营造有利于促进发展的消费环境。</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提能增绩，以人为本，着力加强干部队伍建设。要以解放思想大讨论活动为契机，按照“讲大局、重实干、善创新、作风硬、形象好、争一流”的目标要求，大力加强干部队伍的思想建设、能力建设和作风建设。</w:t>
      </w:r>
    </w:p>
    <w:p>
      <w:pPr>
        <w:spacing w:line="360" w:lineRule="auto"/>
        <w:ind w:firstLine="643" w:firstLineChars="200"/>
        <w:rPr>
          <w:rFonts w:ascii="仿宋_GB2312" w:hAnsi="仿宋_GB2312" w:eastAsia="仿宋_GB2312" w:cs="Arial"/>
          <w:b/>
          <w:bCs/>
          <w:sz w:val="32"/>
          <w:szCs w:val="32"/>
        </w:rPr>
      </w:pPr>
      <w:r>
        <w:rPr>
          <w:rFonts w:hint="eastAsia" w:ascii="仿宋_GB2312" w:hAnsi="仿宋_GB2312" w:eastAsia="仿宋_GB2312" w:cs="仿宋_GB2312"/>
          <w:b/>
          <w:bCs/>
          <w:sz w:val="32"/>
          <w:szCs w:val="32"/>
        </w:rPr>
        <w:t>职责分类绩效目标：</w:t>
      </w:r>
    </w:p>
    <w:p>
      <w:pPr>
        <w:spacing w:line="406" w:lineRule="auto"/>
        <w:ind w:firstLine="640" w:firstLineChars="200"/>
        <w:jc w:val="left"/>
        <w:rPr>
          <w:rFonts w:ascii="仿宋_GB2312" w:hAnsi="仿宋_GB2312" w:eastAsia="仿宋_GB2312" w:cs="Arial"/>
          <w:sz w:val="32"/>
          <w:szCs w:val="32"/>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rPr>
        <w:t>、市场监督管理能力和水平整体增强。市场监管治理体系进一步完善，市场发展环境进一步优化，市场秩序进一步好转，食品安全风险监测预警能力稳步提升，突发食品事件应急处置能力持续强化，监督检查特种设备能力整体增强，产品质量水平进一步提高。</w:t>
      </w:r>
    </w:p>
    <w:p>
      <w:pPr>
        <w:spacing w:line="406" w:lineRule="auto"/>
        <w:ind w:firstLine="640" w:firstLineChars="200"/>
        <w:jc w:val="left"/>
        <w:rPr>
          <w:rFonts w:ascii="仿宋_GB2312" w:hAnsi="仿宋_GB2312" w:eastAsia="仿宋_GB2312" w:cs="Arial"/>
          <w:sz w:val="32"/>
          <w:szCs w:val="32"/>
        </w:rPr>
      </w:pPr>
      <w:r>
        <w:rPr>
          <w:rFonts w:ascii="仿宋_GB2312" w:hAnsi="仿宋_GB2312" w:eastAsia="仿宋_GB2312" w:cs="仿宋_GB2312"/>
          <w:sz w:val="32"/>
          <w:szCs w:val="32"/>
        </w:rPr>
        <w:t>2</w:t>
      </w:r>
      <w:r>
        <w:rPr>
          <w:rFonts w:hint="eastAsia" w:ascii="仿宋_GB2312" w:hAnsi="仿宋_GB2312" w:eastAsia="仿宋_GB2312" w:cs="仿宋_GB2312"/>
          <w:sz w:val="32"/>
          <w:szCs w:val="32"/>
        </w:rPr>
        <w:t>、质量发展水平进一步提升。推进质量强区战略、推进品牌建设，全区质量基础设施协同服务成熟高效，全面实施国家标准、行业标准和地方标准，鼓励辖区企业、产业技术联盟和社会组织参加国际、国家、行业标准化组织，参与国际国内标准化活动，对标准的实施进行监督检查。</w:t>
      </w:r>
    </w:p>
    <w:p>
      <w:pPr>
        <w:spacing w:line="406" w:lineRule="auto"/>
        <w:ind w:firstLine="640" w:firstLineChars="200"/>
        <w:jc w:val="left"/>
        <w:rPr>
          <w:rFonts w:ascii="仿宋_GB2312" w:hAnsi="仿宋_GB2312" w:eastAsia="仿宋_GB2312" w:cs="Arial"/>
          <w:sz w:val="32"/>
          <w:szCs w:val="32"/>
        </w:rPr>
      </w:pPr>
      <w:r>
        <w:rPr>
          <w:rFonts w:ascii="仿宋_GB2312" w:hAnsi="仿宋_GB2312" w:eastAsia="仿宋_GB2312" w:cs="仿宋_GB2312"/>
          <w:sz w:val="32"/>
          <w:szCs w:val="32"/>
        </w:rPr>
        <w:t>3</w:t>
      </w:r>
      <w:r>
        <w:rPr>
          <w:rFonts w:hint="eastAsia" w:ascii="仿宋_GB2312" w:hAnsi="仿宋_GB2312" w:eastAsia="仿宋_GB2312" w:cs="仿宋_GB2312"/>
          <w:sz w:val="32"/>
          <w:szCs w:val="32"/>
        </w:rPr>
        <w:t>、知识产权保护与发展水平进一步提高。知识产权保护体系更加完善，对商标、专利、地理标志等执法工作稳步开展，维权援助工作有效执行，持续推动知识产权运营服务体系建设，驰名商标推荐工作持续开展，知识产权信息公共服务体系建设更加成熟，知识产权信息传播利用不断增强。</w:t>
      </w:r>
    </w:p>
    <w:p>
      <w:pPr>
        <w:spacing w:line="406" w:lineRule="auto"/>
        <w:ind w:firstLine="640" w:firstLineChars="200"/>
        <w:jc w:val="left"/>
        <w:rPr>
          <w:rFonts w:ascii="仿宋_GB2312" w:hAnsi="仿宋_GB2312" w:eastAsia="仿宋_GB2312" w:cs="Arial"/>
          <w:sz w:val="32"/>
          <w:szCs w:val="32"/>
        </w:rPr>
      </w:pPr>
      <w:r>
        <w:rPr>
          <w:rFonts w:ascii="仿宋_GB2312" w:hAnsi="仿宋_GB2312" w:eastAsia="仿宋_GB2312" w:cs="仿宋_GB2312"/>
          <w:sz w:val="32"/>
          <w:szCs w:val="32"/>
        </w:rPr>
        <w:t>4</w:t>
      </w:r>
      <w:r>
        <w:rPr>
          <w:rFonts w:hint="eastAsia" w:ascii="仿宋_GB2312" w:hAnsi="仿宋_GB2312" w:eastAsia="仿宋_GB2312" w:cs="仿宋_GB2312"/>
          <w:sz w:val="32"/>
          <w:szCs w:val="32"/>
        </w:rPr>
        <w:t>、市场监督行政执法进一步增强。查处市场主体生产、经营、交易中的有关违法行为和案件进一步提升，组织行政复议和协调诉讼水平进一步提高，查处价格违法案件、不正当竞争行为，组织指导公平竞争审查，有效监督管理直销企业直销活动，增强打击传销力度。</w:t>
      </w:r>
    </w:p>
    <w:p>
      <w:pPr>
        <w:spacing w:line="406" w:lineRule="auto"/>
        <w:ind w:firstLine="640" w:firstLineChars="200"/>
        <w:jc w:val="left"/>
        <w:rPr>
          <w:rFonts w:ascii="仿宋_GB2312" w:hAnsi="仿宋_GB2312" w:eastAsia="仿宋_GB2312" w:cs="Arial"/>
          <w:sz w:val="32"/>
          <w:szCs w:val="32"/>
        </w:rPr>
      </w:pPr>
      <w:r>
        <w:rPr>
          <w:rFonts w:ascii="仿宋_GB2312" w:hAnsi="仿宋_GB2312" w:eastAsia="仿宋_GB2312" w:cs="仿宋_GB2312"/>
          <w:sz w:val="32"/>
          <w:szCs w:val="32"/>
        </w:rPr>
        <w:t>5</w:t>
      </w:r>
      <w:r>
        <w:rPr>
          <w:rFonts w:hint="eastAsia" w:ascii="仿宋_GB2312" w:hAnsi="仿宋_GB2312" w:eastAsia="仿宋_GB2312" w:cs="仿宋_GB2312"/>
          <w:sz w:val="32"/>
          <w:szCs w:val="32"/>
        </w:rPr>
        <w:t>、市场监督政务管理能力得到提升。利用区政府官网专栏、微信公众号等宣传平台</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提升宣传效果，用新闻报道讲好市场监管故事。对重大事件实施动态监测，有效避免负面舆情危机。大力开展法制宣传教育，法律服务能力及法制宣传教育进一步提升；教育、培训、市场监管文化建设进一步加强，综合保障能力进一步提高。</w:t>
      </w:r>
    </w:p>
    <w:p>
      <w:pPr>
        <w:spacing w:line="406" w:lineRule="auto"/>
        <w:ind w:firstLine="640" w:firstLineChars="200"/>
        <w:jc w:val="left"/>
        <w:rPr>
          <w:rFonts w:ascii="仿宋_GB2312" w:hAnsi="仿宋_GB2312" w:eastAsia="仿宋_GB2312" w:cs="Arial"/>
          <w:sz w:val="32"/>
          <w:szCs w:val="32"/>
        </w:rPr>
      </w:pPr>
    </w:p>
    <w:p>
      <w:pPr>
        <w:spacing w:line="406" w:lineRule="auto"/>
        <w:ind w:firstLine="640" w:firstLineChars="200"/>
        <w:jc w:val="left"/>
        <w:rPr>
          <w:rFonts w:ascii="仿宋_GB2312" w:hAnsi="仿宋_GB2312" w:eastAsia="仿宋_GB2312" w:cs="Arial"/>
          <w:sz w:val="32"/>
          <w:szCs w:val="32"/>
        </w:rPr>
      </w:pPr>
    </w:p>
    <w:p>
      <w:pPr>
        <w:ind w:firstLine="643" w:firstLineChars="200"/>
        <w:jc w:val="left"/>
        <w:outlineLvl w:val="0"/>
        <w:rPr>
          <w:rFonts w:ascii="楷体_GB2312" w:hAnsi="黑体" w:eastAsia="楷体_GB2312" w:cs="Arial"/>
          <w:b/>
          <w:bCs/>
          <w:sz w:val="32"/>
          <w:szCs w:val="32"/>
        </w:rPr>
      </w:pPr>
      <w:r>
        <w:rPr>
          <w:rFonts w:hint="eastAsia" w:ascii="楷体_GB2312" w:hAnsi="黑体" w:eastAsia="楷体_GB2312" w:cs="楷体_GB2312"/>
          <w:b/>
          <w:bCs/>
          <w:sz w:val="32"/>
          <w:szCs w:val="32"/>
        </w:rPr>
        <w:t>部门职责及工作活动绩效目标指标：</w:t>
      </w:r>
      <w:bookmarkStart w:id="1" w:name="_Toc535947603"/>
    </w:p>
    <w:p>
      <w:pPr>
        <w:jc w:val="center"/>
        <w:outlineLvl w:val="0"/>
        <w:rPr>
          <w:rFonts w:ascii="方正小标宋_GBK" w:eastAsia="方正小标宋_GBK" w:cs="Arial"/>
          <w:color w:val="FFFFFF"/>
          <w:sz w:val="32"/>
          <w:szCs w:val="32"/>
        </w:rPr>
      </w:pPr>
      <w:r>
        <w:rPr>
          <w:rFonts w:hint="eastAsia" w:ascii="方正小标宋_GBK" w:eastAsia="方正小标宋_GBK" w:cs="方正小标宋_GBK"/>
          <w:sz w:val="32"/>
          <w:szCs w:val="32"/>
        </w:rPr>
        <w:t>部门职责</w:t>
      </w:r>
      <w:r>
        <w:rPr>
          <w:rFonts w:ascii="方正小标宋_GBK" w:eastAsia="方正小标宋_GBK" w:cs="方正小标宋_GBK"/>
          <w:sz w:val="32"/>
          <w:szCs w:val="32"/>
        </w:rPr>
        <w:t>-</w:t>
      </w:r>
      <w:r>
        <w:rPr>
          <w:rFonts w:hint="eastAsia" w:ascii="方正小标宋_GBK" w:eastAsia="方正小标宋_GBK" w:cs="方正小标宋_GBK"/>
          <w:sz w:val="32"/>
          <w:szCs w:val="32"/>
        </w:rPr>
        <w:t>工作活动绩效目标</w:t>
      </w:r>
      <w:r>
        <w:rPr>
          <w:rStyle w:val="12"/>
          <w:rFonts w:hint="eastAsia" w:ascii="方正小标宋_GBK" w:hAnsi="Symbol" w:eastAsia="方正小标宋_GBK" w:cs="Arial"/>
          <w:color w:val="FFFFFF"/>
          <w:sz w:val="32"/>
          <w:szCs w:val="32"/>
        </w:rPr>
        <w:sym w:font="Symbol" w:char="F020"/>
      </w:r>
      <w:bookmarkEnd w:id="1"/>
    </w:p>
    <w:tbl>
      <w:tblPr>
        <w:tblStyle w:val="8"/>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684"/>
        <w:gridCol w:w="1709"/>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s="Arial"/>
                <w:sz w:val="24"/>
                <w:szCs w:val="24"/>
              </w:rPr>
            </w:pPr>
            <w:r>
              <w:rPr>
                <w:rFonts w:ascii="方正小标宋_GBK" w:eastAsia="方正小标宋_GBK" w:cs="方正小标宋_GBK"/>
                <w:sz w:val="24"/>
                <w:szCs w:val="24"/>
              </w:rPr>
              <w:t>414</w:t>
            </w:r>
            <w:r>
              <w:rPr>
                <w:rFonts w:hint="eastAsia" w:ascii="方正小标宋_GBK" w:eastAsia="方正小标宋_GBK" w:cs="方正小标宋_GBK"/>
                <w:sz w:val="24"/>
                <w:szCs w:val="24"/>
              </w:rPr>
              <w:t>新华区市场监督管理局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Arial"/>
                <w:sz w:val="24"/>
                <w:szCs w:val="24"/>
              </w:rPr>
            </w:pPr>
            <w:r>
              <w:rPr>
                <w:rFonts w:hint="eastAsia" w:ascii="方正书宋_GBK" w:eastAsia="方正书宋_GBK" w:cs="方正书宋_GBK"/>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职责活动</w:t>
            </w:r>
          </w:p>
        </w:tc>
        <w:tc>
          <w:tcPr>
            <w:tcW w:w="1276" w:type="dxa"/>
            <w:vMerge w:val="restart"/>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年度预算数</w:t>
            </w:r>
          </w:p>
        </w:tc>
        <w:tc>
          <w:tcPr>
            <w:tcW w:w="2976" w:type="dxa"/>
            <w:vMerge w:val="restart"/>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内容描述</w:t>
            </w:r>
          </w:p>
        </w:tc>
        <w:tc>
          <w:tcPr>
            <w:tcW w:w="2684" w:type="dxa"/>
            <w:vMerge w:val="restart"/>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绩效目标</w:t>
            </w:r>
          </w:p>
        </w:tc>
        <w:tc>
          <w:tcPr>
            <w:tcW w:w="1709" w:type="dxa"/>
            <w:vMerge w:val="restart"/>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绩效指标</w:t>
            </w:r>
          </w:p>
        </w:tc>
        <w:tc>
          <w:tcPr>
            <w:tcW w:w="2948" w:type="dxa"/>
            <w:gridSpan w:val="4"/>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rPr>
                <w:rFonts w:cs="Arial"/>
              </w:rPr>
            </w:pPr>
          </w:p>
        </w:tc>
        <w:tc>
          <w:tcPr>
            <w:tcW w:w="1276" w:type="dxa"/>
            <w:vMerge w:val="continue"/>
            <w:vAlign w:val="center"/>
          </w:tcPr>
          <w:p>
            <w:pPr>
              <w:spacing w:line="300" w:lineRule="exact"/>
              <w:jc w:val="left"/>
              <w:outlineLvl w:val="0"/>
              <w:rPr>
                <w:rFonts w:cs="Arial"/>
              </w:rPr>
            </w:pPr>
          </w:p>
        </w:tc>
        <w:tc>
          <w:tcPr>
            <w:tcW w:w="2976" w:type="dxa"/>
            <w:vMerge w:val="continue"/>
            <w:vAlign w:val="center"/>
          </w:tcPr>
          <w:p>
            <w:pPr>
              <w:spacing w:line="300" w:lineRule="exact"/>
              <w:jc w:val="left"/>
              <w:outlineLvl w:val="0"/>
              <w:rPr>
                <w:rFonts w:cs="Arial"/>
              </w:rPr>
            </w:pPr>
          </w:p>
        </w:tc>
        <w:tc>
          <w:tcPr>
            <w:tcW w:w="2684" w:type="dxa"/>
            <w:vMerge w:val="continue"/>
            <w:vAlign w:val="center"/>
          </w:tcPr>
          <w:p>
            <w:pPr>
              <w:spacing w:line="300" w:lineRule="exact"/>
              <w:jc w:val="left"/>
              <w:outlineLvl w:val="0"/>
              <w:rPr>
                <w:rFonts w:cs="Arial"/>
              </w:rPr>
            </w:pPr>
          </w:p>
        </w:tc>
        <w:tc>
          <w:tcPr>
            <w:tcW w:w="1709" w:type="dxa"/>
            <w:vMerge w:val="continue"/>
            <w:vAlign w:val="center"/>
          </w:tcPr>
          <w:p>
            <w:pPr>
              <w:spacing w:line="300" w:lineRule="exact"/>
              <w:jc w:val="left"/>
              <w:outlineLvl w:val="0"/>
              <w:rPr>
                <w:rFonts w:cs="Arial"/>
              </w:rPr>
            </w:pPr>
          </w:p>
        </w:tc>
        <w:tc>
          <w:tcPr>
            <w:tcW w:w="737" w:type="dxa"/>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优</w:t>
            </w:r>
          </w:p>
        </w:tc>
        <w:tc>
          <w:tcPr>
            <w:tcW w:w="737" w:type="dxa"/>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良</w:t>
            </w:r>
          </w:p>
        </w:tc>
        <w:tc>
          <w:tcPr>
            <w:tcW w:w="737" w:type="dxa"/>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中</w:t>
            </w:r>
          </w:p>
        </w:tc>
        <w:tc>
          <w:tcPr>
            <w:tcW w:w="737" w:type="dxa"/>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一、工商管理事务</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276.30</w:t>
            </w:r>
          </w:p>
        </w:tc>
        <w:tc>
          <w:tcPr>
            <w:tcW w:w="2976" w:type="dxa"/>
            <w:vAlign w:val="center"/>
          </w:tcPr>
          <w:p>
            <w:pPr>
              <w:spacing w:line="300" w:lineRule="exact"/>
              <w:jc w:val="left"/>
              <w:rPr>
                <w:rFonts w:ascii="方正书宋_GBK" w:eastAsia="方正书宋_GBK" w:cs="Arial"/>
              </w:rPr>
            </w:pPr>
            <w:r>
              <w:rPr>
                <w:rFonts w:hint="eastAsia" w:ascii="方正书宋_GBK" w:eastAsia="方正书宋_GBK" w:cs="方正书宋_GBK"/>
              </w:rPr>
              <w:t>运用行政与法律手段，对市场经营主体及市场行为进行行政指导、监督管理。</w:t>
            </w:r>
          </w:p>
        </w:tc>
        <w:tc>
          <w:tcPr>
            <w:tcW w:w="2684" w:type="dxa"/>
            <w:vAlign w:val="center"/>
          </w:tcPr>
          <w:p>
            <w:pPr>
              <w:spacing w:line="300" w:lineRule="exact"/>
              <w:jc w:val="left"/>
              <w:rPr>
                <w:rFonts w:ascii="方正书宋_GBK" w:eastAsia="方正书宋_GBK" w:cs="Arial"/>
              </w:rPr>
            </w:pPr>
            <w:r>
              <w:rPr>
                <w:rFonts w:hint="eastAsia" w:ascii="方正书宋_GBK" w:eastAsia="方正书宋_GBK" w:cs="方正书宋_GBK"/>
              </w:rPr>
              <w:t>建立和维护市场秩序，服务地方经济发展。</w:t>
            </w:r>
          </w:p>
        </w:tc>
        <w:tc>
          <w:tcPr>
            <w:tcW w:w="1709" w:type="dxa"/>
            <w:vAlign w:val="center"/>
          </w:tcPr>
          <w:p>
            <w:pPr>
              <w:spacing w:line="300" w:lineRule="exact"/>
              <w:jc w:val="left"/>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、市场监督管理</w:t>
            </w:r>
          </w:p>
        </w:tc>
        <w:tc>
          <w:tcPr>
            <w:tcW w:w="1276" w:type="dxa"/>
            <w:vMerge w:val="restart"/>
            <w:vAlign w:val="center"/>
          </w:tcPr>
          <w:p>
            <w:pPr>
              <w:spacing w:line="300" w:lineRule="exact"/>
              <w:jc w:val="left"/>
              <w:rPr>
                <w:rFonts w:ascii="方正书宋_GBK" w:eastAsia="方正书宋_GBK" w:cs="方正书宋_GBK"/>
              </w:rPr>
            </w:pPr>
            <w:r>
              <w:rPr>
                <w:rFonts w:ascii="方正书宋_GBK" w:eastAsia="方正书宋_GBK" w:cs="方正书宋_GBK"/>
              </w:rPr>
              <w:t>257.30</w:t>
            </w:r>
          </w:p>
        </w:tc>
        <w:tc>
          <w:tcPr>
            <w:tcW w:w="2976"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依法规范和维护全区各类市场经营秩序，监督管理市场交易行为和网络商品交易及有关服务的行为。依法实施合同行政监督管理，负责管理动产抵押登记，组织监管管理拍卖行为，依法查处合同欺诈等违法行为。</w:t>
            </w:r>
          </w:p>
        </w:tc>
        <w:tc>
          <w:tcPr>
            <w:tcW w:w="2684"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增强各类市场诚信经营意识</w:t>
            </w: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市场监管执法案件办结率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动产抵押登记办结率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75%</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监管执法计划完成率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　　</w:t>
            </w:r>
            <w:r>
              <w:rPr>
                <w:rFonts w:ascii="方正书宋_GBK" w:eastAsia="方正书宋_GBK" w:cs="方正书宋_GBK"/>
                <w:b/>
                <w:bCs/>
              </w:rPr>
              <w:t>2</w:t>
            </w:r>
            <w:r>
              <w:rPr>
                <w:rFonts w:hint="eastAsia" w:ascii="方正书宋_GBK" w:eastAsia="方正书宋_GBK" w:cs="方正书宋_GBK"/>
                <w:b/>
                <w:bCs/>
              </w:rPr>
              <w:t>、市场主体登记与监管</w:t>
            </w:r>
          </w:p>
        </w:tc>
        <w:tc>
          <w:tcPr>
            <w:tcW w:w="1276" w:type="dxa"/>
            <w:vMerge w:val="restart"/>
            <w:vAlign w:val="center"/>
          </w:tcPr>
          <w:p>
            <w:pPr>
              <w:spacing w:line="300" w:lineRule="exact"/>
              <w:jc w:val="left"/>
              <w:rPr>
                <w:rFonts w:ascii="方正书宋_GBK" w:eastAsia="方正书宋_GBK" w:cs="Arial"/>
              </w:rPr>
            </w:pPr>
          </w:p>
        </w:tc>
        <w:tc>
          <w:tcPr>
            <w:tcW w:w="2976"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受托办理个体工商户注册登记、两小（小摊点、小餐饮）、个体工商经营食品的食品经营许可证办理及依法查处取缔无照经营，开展</w:t>
            </w:r>
            <w:r>
              <w:rPr>
                <w:rFonts w:ascii="方正书宋_GBK" w:eastAsia="方正书宋_GBK"/>
              </w:rPr>
              <w:t>“</w:t>
            </w:r>
            <w:r>
              <w:rPr>
                <w:rFonts w:hint="eastAsia" w:ascii="方正书宋_GBK" w:eastAsia="方正书宋_GBK" w:cs="方正书宋_GBK"/>
              </w:rPr>
              <w:t>双随机、一公开</w:t>
            </w:r>
            <w:r>
              <w:rPr>
                <w:rFonts w:ascii="方正书宋_GBK" w:eastAsia="方正书宋_GBK"/>
              </w:rPr>
              <w:t>”</w:t>
            </w:r>
            <w:r>
              <w:rPr>
                <w:rFonts w:hint="eastAsia" w:ascii="方正书宋_GBK" w:eastAsia="方正书宋_GBK" w:cs="方正书宋_GBK"/>
              </w:rPr>
              <w:t>抽查活动、市场主体的年报以及经营异常工作。组织指导全区企业、个体工商户、商品交易市场信用分类管理。开展非公党建与安全生产工作。</w:t>
            </w:r>
          </w:p>
        </w:tc>
        <w:tc>
          <w:tcPr>
            <w:tcW w:w="2684"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强化信用体系建设</w:t>
            </w: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开展市场主体年报等工作的宣传活动次数</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4</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3</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市场主体违法案件受理办结率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市场主体抽查率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　　</w:t>
            </w:r>
            <w:r>
              <w:rPr>
                <w:rFonts w:ascii="方正书宋_GBK" w:eastAsia="方正书宋_GBK" w:cs="方正书宋_GBK"/>
                <w:b/>
                <w:bCs/>
              </w:rPr>
              <w:t>3</w:t>
            </w:r>
            <w:r>
              <w:rPr>
                <w:rFonts w:hint="eastAsia" w:ascii="方正书宋_GBK" w:eastAsia="方正书宋_GBK" w:cs="方正书宋_GBK"/>
                <w:b/>
                <w:bCs/>
              </w:rPr>
              <w:t>、流通领域商品质量监督管理</w:t>
            </w:r>
          </w:p>
        </w:tc>
        <w:tc>
          <w:tcPr>
            <w:tcW w:w="1276" w:type="dxa"/>
            <w:vMerge w:val="restart"/>
            <w:vAlign w:val="center"/>
          </w:tcPr>
          <w:p>
            <w:pPr>
              <w:spacing w:line="300" w:lineRule="exact"/>
              <w:jc w:val="left"/>
              <w:rPr>
                <w:rFonts w:ascii="方正书宋_GBK" w:eastAsia="方正书宋_GBK" w:cs="方正书宋_GBK"/>
              </w:rPr>
            </w:pPr>
            <w:r>
              <w:rPr>
                <w:rFonts w:ascii="方正书宋_GBK" w:eastAsia="方正书宋_GBK" w:cs="方正书宋_GBK"/>
              </w:rPr>
              <w:t>19.00</w:t>
            </w:r>
          </w:p>
        </w:tc>
        <w:tc>
          <w:tcPr>
            <w:tcW w:w="2976"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依法对流通领域商品质量（不含食品、农资、成品油）进行抽查检验，进行成品油分批次抽检。</w:t>
            </w:r>
          </w:p>
        </w:tc>
        <w:tc>
          <w:tcPr>
            <w:tcW w:w="2684"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加强成品油质量监管，提升油品品质。</w:t>
            </w: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对流通领域商品违法案件处罚率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商品抽检率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成品油抽检率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　　</w:t>
            </w:r>
            <w:r>
              <w:rPr>
                <w:rFonts w:ascii="方正书宋_GBK" w:eastAsia="方正书宋_GBK" w:cs="方正书宋_GBK"/>
                <w:b/>
                <w:bCs/>
              </w:rPr>
              <w:t>4</w:t>
            </w:r>
            <w:r>
              <w:rPr>
                <w:rFonts w:hint="eastAsia" w:ascii="方正书宋_GBK" w:eastAsia="方正书宋_GBK" w:cs="方正书宋_GBK"/>
                <w:b/>
                <w:bCs/>
              </w:rPr>
              <w:t>、商标广告监督管理</w:t>
            </w:r>
          </w:p>
        </w:tc>
        <w:tc>
          <w:tcPr>
            <w:tcW w:w="1276" w:type="dxa"/>
            <w:vMerge w:val="restart"/>
            <w:vAlign w:val="center"/>
          </w:tcPr>
          <w:p>
            <w:pPr>
              <w:spacing w:line="300" w:lineRule="exact"/>
              <w:jc w:val="left"/>
              <w:rPr>
                <w:rFonts w:ascii="方正书宋_GBK" w:eastAsia="方正书宋_GBK" w:cs="Arial"/>
              </w:rPr>
            </w:pPr>
          </w:p>
        </w:tc>
        <w:tc>
          <w:tcPr>
            <w:tcW w:w="2976"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实施全区商标管理工作，依法保护商标专用权和查处商标侵权行为，推荐和保护知著商标，保护特殊标志、官方标志以及著名商标，监督管理广告活动。</w:t>
            </w:r>
          </w:p>
        </w:tc>
        <w:tc>
          <w:tcPr>
            <w:tcW w:w="2684"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建立商标</w:t>
            </w:r>
            <w:r>
              <w:rPr>
                <w:rFonts w:ascii="方正书宋_GBK" w:eastAsia="方正书宋_GBK"/>
              </w:rPr>
              <w:t>“</w:t>
            </w:r>
            <w:r>
              <w:rPr>
                <w:rFonts w:hint="eastAsia" w:ascii="方正书宋_GBK" w:eastAsia="方正书宋_GBK" w:cs="方正书宋_GBK"/>
              </w:rPr>
              <w:t>四书两帐</w:t>
            </w:r>
            <w:r>
              <w:rPr>
                <w:rFonts w:ascii="方正书宋_GBK" w:eastAsia="方正书宋_GBK"/>
              </w:rPr>
              <w:t>”</w:t>
            </w:r>
            <w:r>
              <w:rPr>
                <w:rFonts w:hint="eastAsia" w:ascii="方正书宋_GBK" w:eastAsia="方正书宋_GBK" w:cs="方正书宋_GBK"/>
              </w:rPr>
              <w:t>，查处商标案件。</w:t>
            </w: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推荐知著名商标工作完成率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广告案件查处率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商标案件查处率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二、执法办案</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129.23</w:t>
            </w:r>
          </w:p>
        </w:tc>
        <w:tc>
          <w:tcPr>
            <w:tcW w:w="2976" w:type="dxa"/>
            <w:vAlign w:val="center"/>
          </w:tcPr>
          <w:p>
            <w:pPr>
              <w:spacing w:line="300" w:lineRule="exact"/>
              <w:jc w:val="left"/>
              <w:rPr>
                <w:rFonts w:ascii="方正书宋_GBK" w:eastAsia="方正书宋_GBK" w:cs="Arial"/>
              </w:rPr>
            </w:pPr>
            <w:r>
              <w:rPr>
                <w:rFonts w:hint="eastAsia" w:ascii="方正书宋_GBK" w:eastAsia="方正书宋_GBK" w:cs="方正书宋_GBK"/>
              </w:rPr>
              <w:t>依法查处违法直销和传销行为，依法监督管理直销企业和直销员及其直销活动；根据授权负责垄断协议、滥用市场支配地位、滥用行政权力排除限制竞争方面的反垄断执法工作。依法查处经济违法行为。对危害群众食品及药品安全的案件进行查处，确保人民群众饮食用药和器械安全。</w:t>
            </w:r>
          </w:p>
        </w:tc>
        <w:tc>
          <w:tcPr>
            <w:tcW w:w="2684" w:type="dxa"/>
            <w:vAlign w:val="center"/>
          </w:tcPr>
          <w:p>
            <w:pPr>
              <w:spacing w:line="300" w:lineRule="exact"/>
              <w:jc w:val="left"/>
              <w:rPr>
                <w:rFonts w:ascii="方正书宋_GBK" w:eastAsia="方正书宋_GBK" w:cs="Arial"/>
              </w:rPr>
            </w:pPr>
            <w:r>
              <w:rPr>
                <w:rFonts w:hint="eastAsia" w:ascii="方正书宋_GBK" w:eastAsia="方正书宋_GBK" w:cs="方正书宋_GBK"/>
              </w:rPr>
              <w:t>严厉打击各类违法行为，更好地维护市场经济和社会秩序，及时发现和查处食品药品制假售假案件，保持对食品药品案件的零容忍，确保不出现重大责任事故。</w:t>
            </w:r>
          </w:p>
        </w:tc>
        <w:tc>
          <w:tcPr>
            <w:tcW w:w="1709" w:type="dxa"/>
            <w:vAlign w:val="center"/>
          </w:tcPr>
          <w:p>
            <w:pPr>
              <w:spacing w:line="300" w:lineRule="exact"/>
              <w:jc w:val="left"/>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、执法办案</w:t>
            </w:r>
          </w:p>
        </w:tc>
        <w:tc>
          <w:tcPr>
            <w:tcW w:w="1276" w:type="dxa"/>
            <w:vMerge w:val="restart"/>
            <w:vAlign w:val="center"/>
          </w:tcPr>
          <w:p>
            <w:pPr>
              <w:spacing w:line="300" w:lineRule="exact"/>
              <w:jc w:val="left"/>
              <w:rPr>
                <w:rFonts w:ascii="方正书宋_GBK" w:eastAsia="方正书宋_GBK" w:cs="方正书宋_GBK"/>
              </w:rPr>
            </w:pPr>
            <w:r>
              <w:rPr>
                <w:rFonts w:ascii="方正书宋_GBK" w:eastAsia="方正书宋_GBK" w:cs="方正书宋_GBK"/>
              </w:rPr>
              <w:t>129.23</w:t>
            </w:r>
          </w:p>
        </w:tc>
        <w:tc>
          <w:tcPr>
            <w:tcW w:w="2976"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依法查处各类违法行为，组织开展专项执法行动，查处性质恶劣、跨区域、社会影响大、严重损害群众利益和破坏市场秩序的大案要案，开展食品（含保健食品、酒类）、药品、医疗器材及化妆品安全违法案件的稽查工作，并对违法生产、经营、使用药品、医疗器械案件以及违法生产、经营食品的案件进行查处，保障人民群众用药饮食和器械安全，开展与执法办案有关的各项工作，维护公平竞争的市场秩序。</w:t>
            </w:r>
          </w:p>
        </w:tc>
        <w:tc>
          <w:tcPr>
            <w:tcW w:w="2684"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维护公平竞争的市场秩序</w:t>
            </w: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对企业行政指导工作次数（次）</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25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20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16</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执法案件查处率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上级授权反垄断案件查处率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三、消费者权益保护</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3.00</w:t>
            </w:r>
          </w:p>
        </w:tc>
        <w:tc>
          <w:tcPr>
            <w:tcW w:w="2976" w:type="dxa"/>
            <w:vAlign w:val="center"/>
          </w:tcPr>
          <w:p>
            <w:pPr>
              <w:spacing w:line="300" w:lineRule="exact"/>
              <w:jc w:val="left"/>
              <w:rPr>
                <w:rFonts w:ascii="方正书宋_GBK" w:eastAsia="方正书宋_GBK" w:cs="Arial"/>
              </w:rPr>
            </w:pPr>
            <w:r>
              <w:rPr>
                <w:rFonts w:hint="eastAsia" w:ascii="方正书宋_GBK" w:eastAsia="方正书宋_GBK" w:cs="方正书宋_GBK"/>
              </w:rPr>
              <w:t>指导投诉举报工作，保护消费者合法权益。</w:t>
            </w:r>
          </w:p>
        </w:tc>
        <w:tc>
          <w:tcPr>
            <w:tcW w:w="2684" w:type="dxa"/>
            <w:vAlign w:val="center"/>
          </w:tcPr>
          <w:p>
            <w:pPr>
              <w:spacing w:line="300" w:lineRule="exact"/>
              <w:jc w:val="left"/>
              <w:rPr>
                <w:rFonts w:ascii="方正书宋_GBK" w:eastAsia="方正书宋_GBK" w:cs="Arial"/>
              </w:rPr>
            </w:pPr>
            <w:r>
              <w:rPr>
                <w:rFonts w:hint="eastAsia" w:ascii="方正书宋_GBK" w:eastAsia="方正书宋_GBK" w:cs="方正书宋_GBK"/>
              </w:rPr>
              <w:t>通过指导消费纠纷，稳定社会秩序，为构建</w:t>
            </w:r>
            <w:r>
              <w:rPr>
                <w:rFonts w:ascii="方正书宋_GBK" w:eastAsia="方正书宋_GBK"/>
              </w:rPr>
              <w:t>“</w:t>
            </w:r>
            <w:r>
              <w:rPr>
                <w:rFonts w:hint="eastAsia" w:ascii="方正书宋_GBK" w:eastAsia="方正书宋_GBK" w:cs="方正书宋_GBK"/>
              </w:rPr>
              <w:t>和谐社会</w:t>
            </w:r>
            <w:r>
              <w:rPr>
                <w:rFonts w:ascii="方正书宋_GBK" w:eastAsia="方正书宋_GBK"/>
              </w:rPr>
              <w:t>”</w:t>
            </w:r>
            <w:r>
              <w:rPr>
                <w:rFonts w:hint="eastAsia" w:ascii="方正书宋_GBK" w:eastAsia="方正书宋_GBK" w:cs="方正书宋_GBK"/>
              </w:rPr>
              <w:t>做出积极的贡献。</w:t>
            </w:r>
          </w:p>
        </w:tc>
        <w:tc>
          <w:tcPr>
            <w:tcW w:w="1709" w:type="dxa"/>
            <w:vAlign w:val="center"/>
          </w:tcPr>
          <w:p>
            <w:pPr>
              <w:spacing w:line="300" w:lineRule="exact"/>
              <w:jc w:val="left"/>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、消费者权益保护</w:t>
            </w:r>
          </w:p>
        </w:tc>
        <w:tc>
          <w:tcPr>
            <w:tcW w:w="1276" w:type="dxa"/>
            <w:vMerge w:val="restart"/>
            <w:vAlign w:val="center"/>
          </w:tcPr>
          <w:p>
            <w:pPr>
              <w:spacing w:line="300" w:lineRule="exact"/>
              <w:jc w:val="left"/>
              <w:rPr>
                <w:rFonts w:ascii="方正书宋_GBK" w:eastAsia="方正书宋_GBK" w:cs="方正书宋_GBK"/>
              </w:rPr>
            </w:pPr>
            <w:r>
              <w:rPr>
                <w:rFonts w:ascii="方正书宋_GBK" w:eastAsia="方正书宋_GBK" w:cs="方正书宋_GBK"/>
              </w:rPr>
              <w:t>3.00</w:t>
            </w:r>
          </w:p>
        </w:tc>
        <w:tc>
          <w:tcPr>
            <w:tcW w:w="2976"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指导投诉举报工作，保护消费者合法权益。</w:t>
            </w:r>
          </w:p>
        </w:tc>
        <w:tc>
          <w:tcPr>
            <w:tcW w:w="2684"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提高消费投诉办结率，保护消费者合法权益。</w:t>
            </w: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消费者权益宣传活动</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3</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超时反馈率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10%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20%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40%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&gt;40%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消费投诉办结率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70%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四、食品安全管理</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371.12</w:t>
            </w:r>
          </w:p>
        </w:tc>
        <w:tc>
          <w:tcPr>
            <w:tcW w:w="2976" w:type="dxa"/>
            <w:vAlign w:val="center"/>
          </w:tcPr>
          <w:p>
            <w:pPr>
              <w:spacing w:line="300" w:lineRule="exact"/>
              <w:jc w:val="left"/>
              <w:rPr>
                <w:rFonts w:ascii="方正书宋_GBK" w:eastAsia="方正书宋_GBK" w:cs="Arial"/>
              </w:rPr>
            </w:pPr>
            <w:r>
              <w:rPr>
                <w:rFonts w:hint="eastAsia" w:ascii="方正书宋_GBK" w:eastAsia="方正书宋_GBK" w:cs="方正书宋_GBK"/>
              </w:rPr>
              <w:t>对食品生产、流通、餐饮消费各环节进行监管、及时发现和排除食品安全问题，确保大型活动期间的食品安全</w:t>
            </w:r>
          </w:p>
        </w:tc>
        <w:tc>
          <w:tcPr>
            <w:tcW w:w="2684" w:type="dxa"/>
            <w:vAlign w:val="center"/>
          </w:tcPr>
          <w:p>
            <w:pPr>
              <w:spacing w:line="300" w:lineRule="exact"/>
              <w:jc w:val="left"/>
              <w:rPr>
                <w:rFonts w:ascii="方正书宋_GBK" w:eastAsia="方正书宋_GBK" w:cs="Arial"/>
              </w:rPr>
            </w:pPr>
            <w:r>
              <w:rPr>
                <w:rFonts w:hint="eastAsia" w:ascii="方正书宋_GBK" w:eastAsia="方正书宋_GBK" w:cs="方正书宋_GBK"/>
              </w:rPr>
              <w:t>通过对食品各个环节的强力监管，及时发现食品监管中存在的问题，做好重大活动和暑期食品安全保障</w:t>
            </w:r>
          </w:p>
        </w:tc>
        <w:tc>
          <w:tcPr>
            <w:tcW w:w="1709" w:type="dxa"/>
            <w:vAlign w:val="center"/>
          </w:tcPr>
          <w:p>
            <w:pPr>
              <w:spacing w:line="300" w:lineRule="exact"/>
              <w:jc w:val="left"/>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、食品（含保健品）安全监管</w:t>
            </w:r>
          </w:p>
        </w:tc>
        <w:tc>
          <w:tcPr>
            <w:tcW w:w="1276" w:type="dxa"/>
            <w:vMerge w:val="restart"/>
            <w:vAlign w:val="center"/>
          </w:tcPr>
          <w:p>
            <w:pPr>
              <w:spacing w:line="300" w:lineRule="exact"/>
              <w:jc w:val="left"/>
              <w:rPr>
                <w:rFonts w:ascii="方正书宋_GBK" w:eastAsia="方正书宋_GBK" w:cs="方正书宋_GBK"/>
              </w:rPr>
            </w:pPr>
            <w:r>
              <w:rPr>
                <w:rFonts w:ascii="方正书宋_GBK" w:eastAsia="方正书宋_GBK" w:cs="方正书宋_GBK"/>
              </w:rPr>
              <w:t>371.12</w:t>
            </w:r>
          </w:p>
        </w:tc>
        <w:tc>
          <w:tcPr>
            <w:tcW w:w="2976"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通过对食品生产、流通、餐饮消费环节和保健食品的强力监管，及时发现和排除食品安全问题</w:t>
            </w:r>
          </w:p>
        </w:tc>
        <w:tc>
          <w:tcPr>
            <w:tcW w:w="2684"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加强食品（含保健品）安全监管</w:t>
            </w: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食品生产企业检查率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不合格样品生产企业处理率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餐饮业、食堂等消费环节安全信息监管覆盖面</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食品抽检计划完成率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　　</w:t>
            </w:r>
            <w:r>
              <w:rPr>
                <w:rFonts w:ascii="方正书宋_GBK" w:eastAsia="方正书宋_GBK" w:cs="方正书宋_GBK"/>
                <w:b/>
                <w:bCs/>
              </w:rPr>
              <w:t>2</w:t>
            </w:r>
            <w:r>
              <w:rPr>
                <w:rFonts w:hint="eastAsia" w:ascii="方正书宋_GBK" w:eastAsia="方正书宋_GBK" w:cs="方正书宋_GBK"/>
                <w:b/>
                <w:bCs/>
              </w:rPr>
              <w:t>、重大活动餐饮服务食品安全保障</w:t>
            </w:r>
          </w:p>
        </w:tc>
        <w:tc>
          <w:tcPr>
            <w:tcW w:w="1276" w:type="dxa"/>
            <w:vMerge w:val="restart"/>
            <w:vAlign w:val="center"/>
          </w:tcPr>
          <w:p>
            <w:pPr>
              <w:spacing w:line="300" w:lineRule="exact"/>
              <w:jc w:val="left"/>
              <w:rPr>
                <w:rFonts w:ascii="方正书宋_GBK" w:eastAsia="方正书宋_GBK" w:cs="Arial"/>
              </w:rPr>
            </w:pPr>
          </w:p>
        </w:tc>
        <w:tc>
          <w:tcPr>
            <w:tcW w:w="2976"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规范重大活动餐饮服务单位食品安全监管，确保大型政治、经济、文化、体育活动以及在我区范围内举办各类大型会议等活动期间的餐饮服务食品安全。</w:t>
            </w:r>
          </w:p>
        </w:tc>
        <w:tc>
          <w:tcPr>
            <w:tcW w:w="2684"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提升重大活动餐饮服务食品安全监管水平</w:t>
            </w: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餐饮服务接待单位达标率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暑供食品监督抽检覆盖率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重大活动餐饮服务接待单位食品抽检合格率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五、药品安全管理</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15.00</w:t>
            </w:r>
          </w:p>
        </w:tc>
        <w:tc>
          <w:tcPr>
            <w:tcW w:w="2976" w:type="dxa"/>
            <w:vAlign w:val="center"/>
          </w:tcPr>
          <w:p>
            <w:pPr>
              <w:spacing w:line="300" w:lineRule="exact"/>
              <w:jc w:val="left"/>
              <w:rPr>
                <w:rFonts w:ascii="方正书宋_GBK" w:eastAsia="方正书宋_GBK" w:cs="Arial"/>
              </w:rPr>
            </w:pPr>
            <w:r>
              <w:rPr>
                <w:rFonts w:hint="eastAsia" w:ascii="方正书宋_GBK" w:eastAsia="方正书宋_GBK" w:cs="方正书宋_GBK"/>
              </w:rPr>
              <w:t>全面加强基本药物（医疗器械及包装材料）的质量监管，监督药品生产企业严格按照药品标准进行生产，做好药物不良反应监测及调查处置</w:t>
            </w:r>
          </w:p>
        </w:tc>
        <w:tc>
          <w:tcPr>
            <w:tcW w:w="2684" w:type="dxa"/>
            <w:vAlign w:val="center"/>
          </w:tcPr>
          <w:p>
            <w:pPr>
              <w:spacing w:line="300" w:lineRule="exact"/>
              <w:jc w:val="left"/>
              <w:rPr>
                <w:rFonts w:ascii="方正书宋_GBK" w:eastAsia="方正书宋_GBK" w:cs="Arial"/>
              </w:rPr>
            </w:pPr>
            <w:r>
              <w:rPr>
                <w:rFonts w:hint="eastAsia" w:ascii="方正书宋_GBK" w:eastAsia="方正书宋_GBK" w:cs="方正书宋_GBK"/>
              </w:rPr>
              <w:t>通过对药品从研究、生产、流通、销售各个环节的强力监管，及时发现制假售假药问题，做好不良反应事件的处置工作，确保我区药物的合格率</w:t>
            </w:r>
          </w:p>
        </w:tc>
        <w:tc>
          <w:tcPr>
            <w:tcW w:w="1709" w:type="dxa"/>
            <w:vAlign w:val="center"/>
          </w:tcPr>
          <w:p>
            <w:pPr>
              <w:spacing w:line="300" w:lineRule="exact"/>
              <w:jc w:val="left"/>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、药品（医疗器械）监管</w:t>
            </w:r>
          </w:p>
        </w:tc>
        <w:tc>
          <w:tcPr>
            <w:tcW w:w="1276" w:type="dxa"/>
            <w:vMerge w:val="restart"/>
            <w:vAlign w:val="center"/>
          </w:tcPr>
          <w:p>
            <w:pPr>
              <w:spacing w:line="300" w:lineRule="exact"/>
              <w:jc w:val="left"/>
              <w:rPr>
                <w:rFonts w:ascii="方正书宋_GBK" w:eastAsia="方正书宋_GBK" w:cs="方正书宋_GBK"/>
              </w:rPr>
            </w:pPr>
            <w:r>
              <w:rPr>
                <w:rFonts w:ascii="方正书宋_GBK" w:eastAsia="方正书宋_GBK" w:cs="方正书宋_GBK"/>
              </w:rPr>
              <w:t>6.00</w:t>
            </w:r>
          </w:p>
        </w:tc>
        <w:tc>
          <w:tcPr>
            <w:tcW w:w="2976"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按上级统一计划进行抽验，加强对基本药物的质量监管。</w:t>
            </w:r>
          </w:p>
        </w:tc>
        <w:tc>
          <w:tcPr>
            <w:tcW w:w="2684"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完成上级抽验任务指标，确保医疗器械及药品包装材料质量</w:t>
            </w: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药品、医疗器械包装材料专项抽检计划，品种的抽验完成率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对检出问题的产品依法核查处置率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药品日常监督抽检计划完成率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医疗器械及药品包装材料抽检计划完成率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　　</w:t>
            </w:r>
            <w:r>
              <w:rPr>
                <w:rFonts w:ascii="方正书宋_GBK" w:eastAsia="方正书宋_GBK" w:cs="方正书宋_GBK"/>
                <w:b/>
                <w:bCs/>
              </w:rPr>
              <w:t>2</w:t>
            </w:r>
            <w:r>
              <w:rPr>
                <w:rFonts w:hint="eastAsia" w:ascii="方正书宋_GBK" w:eastAsia="方正书宋_GBK" w:cs="方正书宋_GBK"/>
                <w:b/>
                <w:bCs/>
              </w:rPr>
              <w:t>、化妆品监管</w:t>
            </w:r>
          </w:p>
        </w:tc>
        <w:tc>
          <w:tcPr>
            <w:tcW w:w="1276" w:type="dxa"/>
            <w:vMerge w:val="restart"/>
            <w:vAlign w:val="center"/>
          </w:tcPr>
          <w:p>
            <w:pPr>
              <w:spacing w:line="300" w:lineRule="exact"/>
              <w:jc w:val="left"/>
              <w:rPr>
                <w:rFonts w:ascii="方正书宋_GBK" w:eastAsia="方正书宋_GBK" w:cs="方正书宋_GBK"/>
              </w:rPr>
            </w:pPr>
            <w:r>
              <w:rPr>
                <w:rFonts w:ascii="方正书宋_GBK" w:eastAsia="方正书宋_GBK" w:cs="方正书宋_GBK"/>
              </w:rPr>
              <w:t>9.00</w:t>
            </w:r>
          </w:p>
        </w:tc>
        <w:tc>
          <w:tcPr>
            <w:tcW w:w="2976"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对经营企业的经常性监督检查、对乡镇监管工作的检查指导、培训等工作。</w:t>
            </w:r>
          </w:p>
        </w:tc>
        <w:tc>
          <w:tcPr>
            <w:tcW w:w="2684"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掌握化妆品安全状况、提升化妆品监管水平</w:t>
            </w: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不合格产品查处率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全区经营企业检查覆盖率</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100%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六、政务管理</w:t>
            </w:r>
          </w:p>
        </w:tc>
        <w:tc>
          <w:tcPr>
            <w:tcW w:w="1276" w:type="dxa"/>
            <w:vAlign w:val="center"/>
          </w:tcPr>
          <w:p>
            <w:pPr>
              <w:spacing w:line="300" w:lineRule="exact"/>
              <w:jc w:val="left"/>
              <w:rPr>
                <w:rFonts w:ascii="方正书宋_GBK" w:eastAsia="方正书宋_GBK" w:cs="方正书宋_GBK"/>
              </w:rPr>
            </w:pPr>
            <w:r>
              <w:rPr>
                <w:rFonts w:ascii="方正书宋_GBK" w:eastAsia="方正书宋_GBK" w:cs="方正书宋_GBK"/>
              </w:rPr>
              <w:t>133.28</w:t>
            </w:r>
          </w:p>
        </w:tc>
        <w:tc>
          <w:tcPr>
            <w:tcW w:w="2976" w:type="dxa"/>
            <w:vAlign w:val="center"/>
          </w:tcPr>
          <w:p>
            <w:pPr>
              <w:spacing w:line="300" w:lineRule="exact"/>
              <w:jc w:val="left"/>
              <w:rPr>
                <w:rFonts w:ascii="方正书宋_GBK" w:eastAsia="方正书宋_GBK" w:cs="Arial"/>
              </w:rPr>
            </w:pPr>
            <w:r>
              <w:rPr>
                <w:rFonts w:hint="eastAsia" w:ascii="方正书宋_GBK" w:eastAsia="方正书宋_GBK" w:cs="方正书宋_GBK"/>
              </w:rPr>
              <w:t>贯彻落实工商行政管理和食品药品监管政策，组织指导相关工作开展，加强队伍建设</w:t>
            </w:r>
            <w:r>
              <w:rPr>
                <w:rFonts w:ascii="方正书宋_GBK" w:eastAsia="方正书宋_GBK" w:cs="方正书宋_GBK"/>
              </w:rPr>
              <w:t>,</w:t>
            </w:r>
            <w:r>
              <w:rPr>
                <w:rFonts w:hint="eastAsia" w:ascii="方正书宋_GBK" w:eastAsia="方正书宋_GBK" w:cs="方正书宋_GBK"/>
              </w:rPr>
              <w:t>承担政务公开和业务宣传工作，开展教育培训及法律服务工作，做好机关后勤保障等其他工作。</w:t>
            </w:r>
          </w:p>
        </w:tc>
        <w:tc>
          <w:tcPr>
            <w:tcW w:w="2684" w:type="dxa"/>
            <w:vAlign w:val="center"/>
          </w:tcPr>
          <w:p>
            <w:pPr>
              <w:spacing w:line="300" w:lineRule="exact"/>
              <w:jc w:val="left"/>
              <w:rPr>
                <w:rFonts w:ascii="方正书宋_GBK" w:eastAsia="方正书宋_GBK" w:cs="Arial"/>
              </w:rPr>
            </w:pPr>
            <w:r>
              <w:rPr>
                <w:rFonts w:hint="eastAsia" w:ascii="方正书宋_GBK" w:eastAsia="方正书宋_GBK" w:cs="方正书宋_GBK"/>
              </w:rPr>
              <w:t>加强市场监管能力建设，完成各项工作任务。</w:t>
            </w:r>
          </w:p>
        </w:tc>
        <w:tc>
          <w:tcPr>
            <w:tcW w:w="1709" w:type="dxa"/>
            <w:vAlign w:val="center"/>
          </w:tcPr>
          <w:p>
            <w:pPr>
              <w:spacing w:line="300" w:lineRule="exact"/>
              <w:jc w:val="left"/>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、综合业务管理</w:t>
            </w:r>
          </w:p>
        </w:tc>
        <w:tc>
          <w:tcPr>
            <w:tcW w:w="1276" w:type="dxa"/>
            <w:vMerge w:val="restart"/>
            <w:vAlign w:val="center"/>
          </w:tcPr>
          <w:p>
            <w:pPr>
              <w:spacing w:line="300" w:lineRule="exact"/>
              <w:jc w:val="left"/>
              <w:rPr>
                <w:rFonts w:ascii="方正书宋_GBK" w:eastAsia="方正书宋_GBK" w:cs="Arial"/>
              </w:rPr>
            </w:pPr>
          </w:p>
        </w:tc>
        <w:tc>
          <w:tcPr>
            <w:tcW w:w="2976"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开展单位人员宣传、教育、培训工作。进行行政执法、消保维权报道和舆论监督，开展文化建设工作，承办区政府交办其他事项。</w:t>
            </w:r>
          </w:p>
        </w:tc>
        <w:tc>
          <w:tcPr>
            <w:tcW w:w="2684"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提高行政管理人员的业务能力</w:t>
            </w: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内部简报出刊期数</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24</w:t>
            </w:r>
            <w:r>
              <w:rPr>
                <w:rFonts w:hint="eastAsia" w:ascii="方正书宋_GBK" w:eastAsia="方正书宋_GBK" w:cs="方正书宋_GBK"/>
              </w:rPr>
              <w:t>期</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20</w:t>
            </w:r>
            <w:r>
              <w:rPr>
                <w:rFonts w:hint="eastAsia" w:ascii="方正书宋_GBK" w:eastAsia="方正书宋_GBK" w:cs="方正书宋_GBK"/>
              </w:rPr>
              <w:t>期</w:t>
            </w:r>
            <w:r>
              <w:rPr>
                <w:rFonts w:ascii="方正书宋_GBK" w:eastAsia="方正书宋_GBK" w:cs="方正书宋_GBK"/>
              </w:rPr>
              <w:t>-23</w:t>
            </w:r>
            <w:r>
              <w:rPr>
                <w:rFonts w:hint="eastAsia" w:ascii="方正书宋_GBK" w:eastAsia="方正书宋_GBK" w:cs="方正书宋_GBK"/>
              </w:rPr>
              <w:t>期</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15</w:t>
            </w:r>
            <w:r>
              <w:rPr>
                <w:rFonts w:hint="eastAsia" w:ascii="方正书宋_GBK" w:eastAsia="方正书宋_GBK" w:cs="方正书宋_GBK"/>
              </w:rPr>
              <w:t>期</w:t>
            </w:r>
            <w:r>
              <w:rPr>
                <w:rFonts w:ascii="方正书宋_GBK" w:eastAsia="方正书宋_GBK" w:cs="方正书宋_GBK"/>
              </w:rPr>
              <w:t>-19</w:t>
            </w:r>
            <w:r>
              <w:rPr>
                <w:rFonts w:hint="eastAsia" w:ascii="方正书宋_GBK" w:eastAsia="方正书宋_GBK" w:cs="方正书宋_GBK"/>
              </w:rPr>
              <w:t>期</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15</w:t>
            </w:r>
            <w:r>
              <w:rPr>
                <w:rFonts w:hint="eastAsia" w:ascii="方正书宋_GBK" w:eastAsia="方正书宋_GBK" w:cs="方正书宋_GBK"/>
              </w:rPr>
              <w:t>期以下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媒体稿件篇数</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15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10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培训人员人次</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40%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30%</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　　</w:t>
            </w:r>
            <w:r>
              <w:rPr>
                <w:rFonts w:ascii="方正书宋_GBK" w:eastAsia="方正书宋_GBK" w:cs="方正书宋_GBK"/>
                <w:b/>
                <w:bCs/>
              </w:rPr>
              <w:t>2</w:t>
            </w:r>
            <w:r>
              <w:rPr>
                <w:rFonts w:hint="eastAsia" w:ascii="方正书宋_GBK" w:eastAsia="方正书宋_GBK" w:cs="方正书宋_GBK"/>
                <w:b/>
                <w:bCs/>
              </w:rPr>
              <w:t>、综合事务管理</w:t>
            </w:r>
          </w:p>
        </w:tc>
        <w:tc>
          <w:tcPr>
            <w:tcW w:w="1276" w:type="dxa"/>
            <w:vMerge w:val="restart"/>
            <w:vAlign w:val="center"/>
          </w:tcPr>
          <w:p>
            <w:pPr>
              <w:spacing w:line="300" w:lineRule="exact"/>
              <w:jc w:val="left"/>
              <w:rPr>
                <w:rFonts w:ascii="方正书宋_GBK" w:eastAsia="方正书宋_GBK" w:cs="方正书宋_GBK"/>
              </w:rPr>
            </w:pPr>
            <w:r>
              <w:rPr>
                <w:rFonts w:ascii="方正书宋_GBK" w:eastAsia="方正书宋_GBK" w:cs="方正书宋_GBK"/>
              </w:rPr>
              <w:t>133.28</w:t>
            </w:r>
          </w:p>
        </w:tc>
        <w:tc>
          <w:tcPr>
            <w:tcW w:w="2976"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对办公场所等设施进行运行维护，开展综合业务平台建设与维护工作，配发制服，进行设备购置，组织节能减排、车辆运行与管理、设备购置和管理、保洁和环境绿化及养护等后勤服务。</w:t>
            </w:r>
          </w:p>
        </w:tc>
        <w:tc>
          <w:tcPr>
            <w:tcW w:w="2684" w:type="dxa"/>
            <w:vMerge w:val="restart"/>
            <w:vAlign w:val="center"/>
          </w:tcPr>
          <w:p>
            <w:pPr>
              <w:spacing w:line="300" w:lineRule="exact"/>
              <w:jc w:val="left"/>
              <w:rPr>
                <w:rFonts w:ascii="方正书宋_GBK" w:eastAsia="方正书宋_GBK" w:cs="Arial"/>
              </w:rPr>
            </w:pPr>
            <w:r>
              <w:rPr>
                <w:rFonts w:hint="eastAsia" w:ascii="方正书宋_GBK" w:eastAsia="方正书宋_GBK" w:cs="方正书宋_GBK"/>
              </w:rPr>
              <w:t>提高工作效率</w:t>
            </w: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办公场所维护</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4</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3</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2</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设备检修维护</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6</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4</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cs="Arial"/>
                <w:b/>
                <w:bCs/>
              </w:rPr>
            </w:pPr>
          </w:p>
        </w:tc>
        <w:tc>
          <w:tcPr>
            <w:tcW w:w="1276" w:type="dxa"/>
            <w:vMerge w:val="continue"/>
            <w:vAlign w:val="center"/>
          </w:tcPr>
          <w:p>
            <w:pPr>
              <w:spacing w:line="300" w:lineRule="exact"/>
              <w:jc w:val="left"/>
              <w:rPr>
                <w:rFonts w:ascii="方正书宋_GBK" w:eastAsia="方正书宋_GBK" w:cs="Arial"/>
              </w:rPr>
            </w:pPr>
          </w:p>
        </w:tc>
        <w:tc>
          <w:tcPr>
            <w:tcW w:w="2976" w:type="dxa"/>
            <w:vMerge w:val="continue"/>
            <w:vAlign w:val="center"/>
          </w:tcPr>
          <w:p>
            <w:pPr>
              <w:spacing w:line="300" w:lineRule="exact"/>
              <w:jc w:val="left"/>
              <w:rPr>
                <w:rFonts w:ascii="方正书宋_GBK" w:eastAsia="方正书宋_GBK" w:cs="Arial"/>
              </w:rPr>
            </w:pPr>
          </w:p>
        </w:tc>
        <w:tc>
          <w:tcPr>
            <w:tcW w:w="2684" w:type="dxa"/>
            <w:vMerge w:val="continue"/>
            <w:vAlign w:val="center"/>
          </w:tcPr>
          <w:p>
            <w:pPr>
              <w:spacing w:line="300" w:lineRule="exact"/>
              <w:jc w:val="left"/>
              <w:rPr>
                <w:rFonts w:ascii="方正书宋_GBK" w:eastAsia="方正书宋_GBK" w:cs="Arial"/>
              </w:rPr>
            </w:pP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信息平台建设达标率</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95%</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90%</w:t>
            </w:r>
          </w:p>
        </w:tc>
        <w:tc>
          <w:tcPr>
            <w:tcW w:w="737"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w:t>
            </w:r>
            <w:r>
              <w:rPr>
                <w:rFonts w:ascii="方正书宋_GBK" w:eastAsia="方正书宋_GBK" w:cs="方正书宋_GBK"/>
              </w:rPr>
              <w:t>85%</w:t>
            </w:r>
          </w:p>
        </w:tc>
        <w:tc>
          <w:tcPr>
            <w:tcW w:w="737" w:type="dxa"/>
            <w:vAlign w:val="center"/>
          </w:tcPr>
          <w:p>
            <w:pPr>
              <w:spacing w:line="300" w:lineRule="exact"/>
              <w:jc w:val="center"/>
              <w:rPr>
                <w:rFonts w:ascii="方正书宋_GBK" w:eastAsia="方正书宋_GBK" w:cs="方正书宋_GBK"/>
              </w:rPr>
            </w:pPr>
            <w:r>
              <w:rPr>
                <w:rFonts w:ascii="方正书宋_GBK" w:eastAsia="方正书宋_GBK" w:cs="方正书宋_GBK"/>
              </w:rPr>
              <w:t>&lt;85%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七、个、私、消协及维管</w:t>
            </w:r>
          </w:p>
        </w:tc>
        <w:tc>
          <w:tcPr>
            <w:tcW w:w="1276" w:type="dxa"/>
            <w:vAlign w:val="center"/>
          </w:tcPr>
          <w:p>
            <w:pPr>
              <w:spacing w:line="300" w:lineRule="exact"/>
              <w:jc w:val="left"/>
              <w:rPr>
                <w:rFonts w:ascii="方正书宋_GBK" w:eastAsia="方正书宋_GBK" w:cs="Arial"/>
              </w:rPr>
            </w:pPr>
          </w:p>
        </w:tc>
        <w:tc>
          <w:tcPr>
            <w:tcW w:w="2976" w:type="dxa"/>
            <w:vAlign w:val="center"/>
          </w:tcPr>
          <w:p>
            <w:pPr>
              <w:spacing w:line="300" w:lineRule="exact"/>
              <w:jc w:val="left"/>
              <w:rPr>
                <w:rFonts w:ascii="方正书宋_GBK" w:eastAsia="方正书宋_GBK" w:cs="Arial"/>
              </w:rPr>
            </w:pPr>
            <w:r>
              <w:rPr>
                <w:rFonts w:hint="eastAsia" w:ascii="方正书宋_GBK" w:eastAsia="方正书宋_GBK" w:cs="方正书宋_GBK"/>
              </w:rPr>
              <w:t>教育引导、组织管理和服务发展个体私营经济，维护市场秩序，维护会员合法权益。引导会员促进经济社会全面发展。</w:t>
            </w:r>
          </w:p>
        </w:tc>
        <w:tc>
          <w:tcPr>
            <w:tcW w:w="2684" w:type="dxa"/>
            <w:vAlign w:val="center"/>
          </w:tcPr>
          <w:p>
            <w:pPr>
              <w:spacing w:line="300" w:lineRule="exact"/>
              <w:jc w:val="left"/>
              <w:rPr>
                <w:rFonts w:ascii="方正书宋_GBK" w:eastAsia="方正书宋_GBK" w:cs="Arial"/>
              </w:rPr>
            </w:pPr>
            <w:r>
              <w:rPr>
                <w:rFonts w:hint="eastAsia" w:ascii="方正书宋_GBK" w:eastAsia="方正书宋_GBK" w:cs="方正书宋_GBK"/>
              </w:rPr>
              <w:t>引导会员促进经济社会全面发展。</w:t>
            </w:r>
          </w:p>
        </w:tc>
        <w:tc>
          <w:tcPr>
            <w:tcW w:w="1709" w:type="dxa"/>
            <w:vAlign w:val="center"/>
          </w:tcPr>
          <w:p>
            <w:pPr>
              <w:spacing w:line="300" w:lineRule="exact"/>
              <w:jc w:val="left"/>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c>
          <w:tcPr>
            <w:tcW w:w="737" w:type="dxa"/>
            <w:vAlign w:val="center"/>
          </w:tcPr>
          <w:p>
            <w:pPr>
              <w:spacing w:line="300" w:lineRule="exact"/>
              <w:jc w:val="center"/>
              <w:rPr>
                <w:rFonts w:ascii="方正书宋_GBK" w:eastAsia="方正书宋_GBK" w:cs="Aria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　　</w:t>
            </w:r>
            <w:r>
              <w:rPr>
                <w:rFonts w:ascii="方正书宋_GBK" w:eastAsia="方正书宋_GBK" w:cs="方正书宋_GBK"/>
                <w:b/>
                <w:bCs/>
              </w:rPr>
              <w:t>1</w:t>
            </w:r>
            <w:r>
              <w:rPr>
                <w:rFonts w:hint="eastAsia" w:ascii="方正书宋_GBK" w:eastAsia="方正书宋_GBK" w:cs="方正书宋_GBK"/>
                <w:b/>
                <w:bCs/>
              </w:rPr>
              <w:t>、促进个、私经济发展</w:t>
            </w:r>
          </w:p>
        </w:tc>
        <w:tc>
          <w:tcPr>
            <w:tcW w:w="1276" w:type="dxa"/>
            <w:vAlign w:val="center"/>
          </w:tcPr>
          <w:p>
            <w:pPr>
              <w:spacing w:line="300" w:lineRule="exact"/>
              <w:jc w:val="left"/>
              <w:rPr>
                <w:rFonts w:ascii="方正书宋_GBK" w:eastAsia="方正书宋_GBK" w:cs="Arial"/>
              </w:rPr>
            </w:pPr>
          </w:p>
        </w:tc>
        <w:tc>
          <w:tcPr>
            <w:tcW w:w="2976" w:type="dxa"/>
            <w:vAlign w:val="center"/>
          </w:tcPr>
          <w:p>
            <w:pPr>
              <w:spacing w:line="300" w:lineRule="exact"/>
              <w:jc w:val="left"/>
              <w:rPr>
                <w:rFonts w:ascii="方正书宋_GBK" w:eastAsia="方正书宋_GBK" w:cs="Arial"/>
              </w:rPr>
            </w:pPr>
            <w:r>
              <w:rPr>
                <w:rFonts w:hint="eastAsia" w:ascii="方正书宋_GBK" w:eastAsia="方正书宋_GBK" w:cs="方正书宋_GBK"/>
              </w:rPr>
              <w:t>宣传党的政策、法律法规，教育引导，维权、服务。</w:t>
            </w:r>
          </w:p>
        </w:tc>
        <w:tc>
          <w:tcPr>
            <w:tcW w:w="2684" w:type="dxa"/>
            <w:vAlign w:val="center"/>
          </w:tcPr>
          <w:p>
            <w:pPr>
              <w:spacing w:line="300" w:lineRule="exact"/>
              <w:jc w:val="left"/>
              <w:rPr>
                <w:rFonts w:ascii="方正书宋_GBK" w:eastAsia="方正书宋_GBK" w:cs="Arial"/>
              </w:rPr>
            </w:pPr>
            <w:r>
              <w:rPr>
                <w:rFonts w:hint="eastAsia" w:ascii="方正书宋_GBK" w:eastAsia="方正书宋_GBK" w:cs="方正书宋_GBK"/>
              </w:rPr>
              <w:t>引导个私企业走有中国特色的社会主义道路，组织开展教育活动，引导个私企业守法经营，履行社会责任。反映个私企业诉求，为个私企业做大做强提供各项服务</w:t>
            </w: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会员满意度</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85%</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80%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75%</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70%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　　</w:t>
            </w:r>
            <w:r>
              <w:rPr>
                <w:rFonts w:ascii="方正书宋_GBK" w:eastAsia="方正书宋_GBK" w:cs="方正书宋_GBK"/>
                <w:b/>
                <w:bCs/>
              </w:rPr>
              <w:t>2</w:t>
            </w:r>
            <w:r>
              <w:rPr>
                <w:rFonts w:hint="eastAsia" w:ascii="方正书宋_GBK" w:eastAsia="方正书宋_GBK" w:cs="方正书宋_GBK"/>
                <w:b/>
                <w:bCs/>
              </w:rPr>
              <w:t>、</w:t>
            </w:r>
            <w:r>
              <w:rPr>
                <w:rFonts w:ascii="方正书宋_GBK" w:eastAsia="方正书宋_GBK"/>
                <w:b/>
                <w:bCs/>
              </w:rPr>
              <w:t>“</w:t>
            </w:r>
            <w:r>
              <w:rPr>
                <w:rFonts w:ascii="方正书宋_GBK" w:eastAsia="方正书宋_GBK" w:cs="方正书宋_GBK"/>
                <w:b/>
                <w:bCs/>
              </w:rPr>
              <w:t xml:space="preserve"> 3.15</w:t>
            </w:r>
            <w:r>
              <w:rPr>
                <w:rFonts w:ascii="方正书宋_GBK" w:eastAsia="方正书宋_GBK"/>
                <w:b/>
                <w:bCs/>
              </w:rPr>
              <w:t>”</w:t>
            </w:r>
            <w:r>
              <w:rPr>
                <w:rFonts w:hint="eastAsia" w:ascii="方正书宋_GBK" w:eastAsia="方正书宋_GBK" w:cs="方正书宋_GBK"/>
                <w:b/>
                <w:bCs/>
              </w:rPr>
              <w:t>活动。</w:t>
            </w:r>
          </w:p>
        </w:tc>
        <w:tc>
          <w:tcPr>
            <w:tcW w:w="1276" w:type="dxa"/>
            <w:vAlign w:val="center"/>
          </w:tcPr>
          <w:p>
            <w:pPr>
              <w:spacing w:line="300" w:lineRule="exact"/>
              <w:jc w:val="left"/>
              <w:rPr>
                <w:rFonts w:ascii="方正书宋_GBK" w:eastAsia="方正书宋_GBK" w:cs="Arial"/>
              </w:rPr>
            </w:pPr>
          </w:p>
        </w:tc>
        <w:tc>
          <w:tcPr>
            <w:tcW w:w="2976" w:type="dxa"/>
            <w:vAlign w:val="center"/>
          </w:tcPr>
          <w:p>
            <w:pPr>
              <w:spacing w:line="300" w:lineRule="exact"/>
              <w:jc w:val="left"/>
              <w:rPr>
                <w:rFonts w:ascii="方正书宋_GBK" w:eastAsia="方正书宋_GBK" w:cs="Arial"/>
              </w:rPr>
            </w:pPr>
            <w:r>
              <w:rPr>
                <w:rFonts w:hint="eastAsia" w:ascii="方正书宋_GBK" w:eastAsia="方正书宋_GBK" w:cs="方正书宋_GBK"/>
              </w:rPr>
              <w:t>需做宣传主题的横幅、条幅，结合实际印刷宣传品等营造宣传氛围，达到宣传目的。</w:t>
            </w:r>
          </w:p>
        </w:tc>
        <w:tc>
          <w:tcPr>
            <w:tcW w:w="2684" w:type="dxa"/>
            <w:vAlign w:val="center"/>
          </w:tcPr>
          <w:p>
            <w:pPr>
              <w:spacing w:line="300" w:lineRule="exact"/>
              <w:jc w:val="left"/>
              <w:rPr>
                <w:rFonts w:ascii="方正书宋_GBK" w:eastAsia="方正书宋_GBK" w:cs="Arial"/>
              </w:rPr>
            </w:pPr>
            <w:r>
              <w:rPr>
                <w:rFonts w:hint="eastAsia" w:ascii="方正书宋_GBK" w:eastAsia="方正书宋_GBK" w:cs="方正书宋_GBK"/>
              </w:rPr>
              <w:t>现场受理投诉</w:t>
            </w: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案件调解成功率</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80%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70%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70%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　　</w:t>
            </w:r>
            <w:r>
              <w:rPr>
                <w:rFonts w:ascii="方正书宋_GBK" w:eastAsia="方正书宋_GBK" w:cs="方正书宋_GBK"/>
                <w:b/>
                <w:bCs/>
              </w:rPr>
              <w:t>3</w:t>
            </w:r>
            <w:r>
              <w:rPr>
                <w:rFonts w:hint="eastAsia" w:ascii="方正书宋_GBK" w:eastAsia="方正书宋_GBK" w:cs="方正书宋_GBK"/>
                <w:b/>
                <w:bCs/>
              </w:rPr>
              <w:t>、行业调查问卷</w:t>
            </w:r>
          </w:p>
        </w:tc>
        <w:tc>
          <w:tcPr>
            <w:tcW w:w="1276" w:type="dxa"/>
            <w:vAlign w:val="center"/>
          </w:tcPr>
          <w:p>
            <w:pPr>
              <w:spacing w:line="300" w:lineRule="exact"/>
              <w:jc w:val="left"/>
              <w:rPr>
                <w:rFonts w:ascii="方正书宋_GBK" w:eastAsia="方正书宋_GBK" w:cs="Arial"/>
              </w:rPr>
            </w:pPr>
          </w:p>
        </w:tc>
        <w:tc>
          <w:tcPr>
            <w:tcW w:w="2976" w:type="dxa"/>
            <w:vAlign w:val="center"/>
          </w:tcPr>
          <w:p>
            <w:pPr>
              <w:spacing w:line="300" w:lineRule="exact"/>
              <w:jc w:val="left"/>
              <w:rPr>
                <w:rFonts w:ascii="方正书宋_GBK" w:eastAsia="方正书宋_GBK" w:cs="Arial"/>
              </w:rPr>
            </w:pPr>
            <w:r>
              <w:rPr>
                <w:rFonts w:hint="eastAsia" w:ascii="方正书宋_GBK" w:eastAsia="方正书宋_GBK" w:cs="方正书宋_GBK"/>
              </w:rPr>
              <w:t>不同行业服务水平、服务质量调查摸底。</w:t>
            </w:r>
          </w:p>
        </w:tc>
        <w:tc>
          <w:tcPr>
            <w:tcW w:w="2684" w:type="dxa"/>
            <w:vAlign w:val="center"/>
          </w:tcPr>
          <w:p>
            <w:pPr>
              <w:spacing w:line="300" w:lineRule="exact"/>
              <w:jc w:val="left"/>
              <w:rPr>
                <w:rFonts w:ascii="方正书宋_GBK" w:eastAsia="方正书宋_GBK" w:cs="Arial"/>
              </w:rPr>
            </w:pPr>
            <w:r>
              <w:rPr>
                <w:rFonts w:hint="eastAsia" w:ascii="方正书宋_GBK" w:eastAsia="方正书宋_GBK" w:cs="方正书宋_GBK"/>
              </w:rPr>
              <w:t>对针对企业存在问题提出建议。</w:t>
            </w: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履行社会责任</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80%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70%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70%</w:t>
            </w:r>
            <w:r>
              <w:rPr>
                <w:rFonts w:hint="eastAsia" w:ascii="方正书宋_GBK" w:eastAsia="方正书宋_GBK" w:cs="方正书宋_GBK"/>
              </w:rPr>
              <w:t>以下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cs="Arial"/>
                <w:b/>
                <w:bCs/>
              </w:rPr>
            </w:pPr>
            <w:r>
              <w:rPr>
                <w:rFonts w:hint="eastAsia" w:ascii="方正书宋_GBK" w:eastAsia="方正书宋_GBK" w:cs="方正书宋_GBK"/>
                <w:b/>
                <w:bCs/>
              </w:rPr>
              <w:t>　　</w:t>
            </w:r>
            <w:r>
              <w:rPr>
                <w:rFonts w:ascii="方正书宋_GBK" w:eastAsia="方正书宋_GBK" w:cs="方正书宋_GBK"/>
                <w:b/>
                <w:bCs/>
              </w:rPr>
              <w:t>4</w:t>
            </w:r>
            <w:r>
              <w:rPr>
                <w:rFonts w:hint="eastAsia" w:ascii="方正书宋_GBK" w:eastAsia="方正书宋_GBK" w:cs="方正书宋_GBK"/>
                <w:b/>
                <w:bCs/>
              </w:rPr>
              <w:t>、维管工作</w:t>
            </w:r>
          </w:p>
        </w:tc>
        <w:tc>
          <w:tcPr>
            <w:tcW w:w="1276" w:type="dxa"/>
            <w:vAlign w:val="center"/>
          </w:tcPr>
          <w:p>
            <w:pPr>
              <w:spacing w:line="300" w:lineRule="exact"/>
              <w:jc w:val="left"/>
              <w:rPr>
                <w:rFonts w:ascii="方正书宋_GBK" w:eastAsia="方正书宋_GBK" w:cs="Arial"/>
              </w:rPr>
            </w:pPr>
          </w:p>
        </w:tc>
        <w:tc>
          <w:tcPr>
            <w:tcW w:w="2976" w:type="dxa"/>
            <w:vAlign w:val="center"/>
          </w:tcPr>
          <w:p>
            <w:pPr>
              <w:spacing w:line="300" w:lineRule="exact"/>
              <w:jc w:val="left"/>
              <w:rPr>
                <w:rFonts w:ascii="方正书宋_GBK" w:eastAsia="方正书宋_GBK" w:cs="Arial"/>
              </w:rPr>
            </w:pPr>
            <w:r>
              <w:rPr>
                <w:rFonts w:hint="eastAsia" w:ascii="方正书宋_GBK" w:eastAsia="方正书宋_GBK" w:cs="方正书宋_GBK"/>
              </w:rPr>
              <w:t>组织全区维修从业人员培训，开展好本辖区维修业专项整治工作。查处违反《河北省民用品维修监督管理规定》和有关法律、法规、规章的行为，处理民用品维修争议的申诉事项。</w:t>
            </w:r>
          </w:p>
        </w:tc>
        <w:tc>
          <w:tcPr>
            <w:tcW w:w="2684" w:type="dxa"/>
            <w:vAlign w:val="center"/>
          </w:tcPr>
          <w:p>
            <w:pPr>
              <w:spacing w:line="300" w:lineRule="exact"/>
              <w:jc w:val="left"/>
              <w:rPr>
                <w:rFonts w:ascii="方正书宋_GBK" w:eastAsia="方正书宋_GBK" w:cs="Arial"/>
              </w:rPr>
            </w:pPr>
            <w:r>
              <w:rPr>
                <w:rFonts w:hint="eastAsia" w:ascii="方正书宋_GBK" w:eastAsia="方正书宋_GBK" w:cs="方正书宋_GBK"/>
              </w:rPr>
              <w:t>促使维修单位和民用品生产、经销单位应当遵守公平合理、诚实信用、担诚服务和其他公认的职业道德，维护送修者的合法权益。</w:t>
            </w:r>
          </w:p>
        </w:tc>
        <w:tc>
          <w:tcPr>
            <w:tcW w:w="1709" w:type="dxa"/>
            <w:vAlign w:val="center"/>
          </w:tcPr>
          <w:p>
            <w:pPr>
              <w:spacing w:line="300" w:lineRule="exact"/>
              <w:jc w:val="left"/>
              <w:rPr>
                <w:rFonts w:ascii="方正书宋_GBK" w:eastAsia="方正书宋_GBK" w:cs="Arial"/>
              </w:rPr>
            </w:pPr>
            <w:r>
              <w:rPr>
                <w:rFonts w:hint="eastAsia" w:ascii="方正书宋_GBK" w:eastAsia="方正书宋_GBK" w:cs="方正书宋_GBK"/>
              </w:rPr>
              <w:t>案件调解成功率</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90%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80%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70%</w:t>
            </w:r>
            <w:r>
              <w:rPr>
                <w:rFonts w:hint="eastAsia" w:ascii="方正书宋_GBK" w:eastAsia="方正书宋_GBK" w:cs="方正书宋_GBK"/>
              </w:rPr>
              <w:t>及以上</w:t>
            </w:r>
          </w:p>
        </w:tc>
        <w:tc>
          <w:tcPr>
            <w:tcW w:w="737" w:type="dxa"/>
            <w:vAlign w:val="center"/>
          </w:tcPr>
          <w:p>
            <w:pPr>
              <w:spacing w:line="300" w:lineRule="exact"/>
              <w:jc w:val="center"/>
              <w:rPr>
                <w:rFonts w:ascii="方正书宋_GBK" w:eastAsia="方正书宋_GBK" w:cs="Arial"/>
              </w:rPr>
            </w:pPr>
            <w:r>
              <w:rPr>
                <w:rFonts w:ascii="方正书宋_GBK" w:eastAsia="方正书宋_GBK" w:cs="方正书宋_GBK"/>
              </w:rPr>
              <w:t>70%</w:t>
            </w:r>
            <w:r>
              <w:rPr>
                <w:rFonts w:hint="eastAsia" w:ascii="方正书宋_GBK" w:eastAsia="方正书宋_GBK" w:cs="方正书宋_GBK"/>
              </w:rPr>
              <w:t>以下</w:t>
            </w:r>
          </w:p>
        </w:tc>
      </w:tr>
    </w:tbl>
    <w:p>
      <w:pPr>
        <w:pStyle w:val="6"/>
        <w:spacing w:line="360" w:lineRule="exact"/>
        <w:rPr>
          <w:rFonts w:ascii="方正书宋_GBK" w:eastAsia="方正书宋_GBK" w:cs="Arial"/>
          <w:sz w:val="21"/>
          <w:szCs w:val="21"/>
        </w:rPr>
      </w:pPr>
      <w:r>
        <w:rPr>
          <w:rFonts w:hint="eastAsia" w:ascii="方正书宋_GBK" w:eastAsia="方正书宋_GBK" w:cs="方正书宋_GBK"/>
          <w:sz w:val="21"/>
          <w:szCs w:val="21"/>
        </w:rPr>
        <w:t>备注：表中的年度预算数为项目支出，部门工作活动虽未安排项目支出，但由基本支出保障，由于基本支出无法拆分到相应的工作活动，因此部分工作活动没有列示年度预算数。</w:t>
      </w:r>
    </w:p>
    <w:bookmarkEnd w:id="0"/>
    <w:p>
      <w:pPr>
        <w:autoSpaceDE w:val="0"/>
        <w:autoSpaceDN w:val="0"/>
        <w:adjustRightInd w:val="0"/>
        <w:spacing w:beforeLines="50"/>
        <w:ind w:firstLine="640" w:firstLineChars="200"/>
        <w:jc w:val="left"/>
        <w:rPr>
          <w:rFonts w:ascii="黑体" w:hAnsi="黑体" w:eastAsia="黑体" w:cs="Arial"/>
          <w:sz w:val="32"/>
          <w:szCs w:val="32"/>
        </w:rPr>
      </w:pPr>
      <w:r>
        <w:rPr>
          <w:rFonts w:hint="eastAsia" w:ascii="黑体" w:hAnsi="黑体" w:eastAsia="黑体" w:cs="黑体"/>
          <w:sz w:val="32"/>
          <w:szCs w:val="32"/>
        </w:rPr>
        <w:t>六、政府采购预算情况</w:t>
      </w:r>
    </w:p>
    <w:p>
      <w:pPr>
        <w:outlineLvl w:val="0"/>
        <w:rPr>
          <w:rFonts w:ascii="Times New Roman" w:hAnsi="Times New Roman" w:eastAsia="方正仿宋_GBK" w:cs="Arial"/>
          <w:sz w:val="32"/>
          <w:szCs w:val="32"/>
        </w:rPr>
      </w:pPr>
      <w:bookmarkStart w:id="2" w:name="_Toc471398468"/>
      <w:r>
        <w:rPr>
          <w:rFonts w:ascii="方正小标宋_GBK" w:hAnsi="Times New Roman" w:eastAsia="方正小标宋_GBK" w:cs="方正小标宋_GBK"/>
          <w:sz w:val="32"/>
          <w:szCs w:val="32"/>
        </w:rPr>
        <w:t xml:space="preserve"> </w:t>
      </w:r>
      <w:r>
        <w:rPr>
          <w:rFonts w:ascii="Times New Roman" w:hAnsi="Times New Roman" w:eastAsia="方正仿宋_GBK" w:cs="Times New Roman"/>
          <w:sz w:val="32"/>
          <w:szCs w:val="32"/>
        </w:rPr>
        <w:t xml:space="preserve">  </w:t>
      </w:r>
      <w:r>
        <w:rPr>
          <w:rFonts w:ascii="仿宋_GB2312" w:hAnsi="仿宋_GB2312" w:eastAsia="仿宋_GB2312" w:cs="仿宋_GB2312"/>
          <w:sz w:val="32"/>
          <w:szCs w:val="32"/>
        </w:rPr>
        <w:t xml:space="preserve"> 2019</w:t>
      </w:r>
      <w:r>
        <w:rPr>
          <w:rFonts w:hint="eastAsia" w:ascii="仿宋_GB2312" w:hAnsi="仿宋_GB2312" w:eastAsia="仿宋_GB2312" w:cs="仿宋_GB2312"/>
          <w:sz w:val="32"/>
          <w:szCs w:val="32"/>
        </w:rPr>
        <w:t>年，我局安排政府采购预算</w:t>
      </w:r>
      <w:r>
        <w:rPr>
          <w:rFonts w:ascii="仿宋_GB2312" w:hAnsi="仿宋_GB2312" w:eastAsia="仿宋_GB2312" w:cs="仿宋_GB2312"/>
          <w:sz w:val="32"/>
          <w:szCs w:val="32"/>
        </w:rPr>
        <w:t>657.91</w:t>
      </w:r>
      <w:r>
        <w:rPr>
          <w:rFonts w:hint="eastAsia" w:ascii="仿宋_GB2312" w:hAnsi="仿宋_GB2312" w:eastAsia="仿宋_GB2312" w:cs="仿宋_GB2312"/>
          <w:sz w:val="32"/>
          <w:szCs w:val="32"/>
        </w:rPr>
        <w:t>万元。具体内容见下表。</w:t>
      </w:r>
    </w:p>
    <w:p>
      <w:pPr>
        <w:jc w:val="center"/>
        <w:outlineLvl w:val="0"/>
        <w:rPr>
          <w:rFonts w:ascii="方正小标宋简体" w:hAnsi="方正小标宋简体" w:eastAsia="方正小标宋简体" w:cs="Arial"/>
          <w:sz w:val="32"/>
          <w:szCs w:val="32"/>
        </w:rPr>
      </w:pPr>
      <w:r>
        <w:rPr>
          <w:rFonts w:hint="eastAsia" w:ascii="方正小标宋简体" w:hAnsi="方正小标宋简体" w:eastAsia="方正小标宋简体" w:cs="方正小标宋简体"/>
          <w:sz w:val="32"/>
          <w:szCs w:val="32"/>
        </w:rPr>
        <w:t>部门政府采购预算</w:t>
      </w:r>
      <w:bookmarkEnd w:id="2"/>
    </w:p>
    <w:tbl>
      <w:tblPr>
        <w:tblStyle w:val="8"/>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8"/>
        <w:gridCol w:w="1099"/>
        <w:gridCol w:w="974"/>
        <w:gridCol w:w="986"/>
        <w:gridCol w:w="760"/>
        <w:gridCol w:w="760"/>
        <w:gridCol w:w="848"/>
        <w:gridCol w:w="961"/>
        <w:gridCol w:w="961"/>
        <w:gridCol w:w="961"/>
        <w:gridCol w:w="961"/>
        <w:gridCol w:w="964"/>
        <w:gridCol w:w="964"/>
        <w:gridCol w:w="9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875"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cs="Arial"/>
                <w:sz w:val="24"/>
                <w:szCs w:val="24"/>
              </w:rPr>
            </w:pPr>
            <w:r>
              <w:rPr>
                <w:rFonts w:ascii="方正小标宋_GBK" w:eastAsia="方正小标宋_GBK" w:cs="方正小标宋_GBK"/>
                <w:sz w:val="24"/>
                <w:szCs w:val="24"/>
              </w:rPr>
              <w:t>414</w:t>
            </w:r>
            <w:r>
              <w:rPr>
                <w:rFonts w:hint="eastAsia" w:ascii="方正小标宋_GBK" w:eastAsia="方正小标宋_GBK" w:cs="方正小标宋_GBK"/>
                <w:sz w:val="24"/>
                <w:szCs w:val="24"/>
              </w:rPr>
              <w:t>新华区市场监督管理局</w:t>
            </w:r>
          </w:p>
        </w:tc>
        <w:tc>
          <w:tcPr>
            <w:tcW w:w="6693"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cs="Arial"/>
                <w:sz w:val="24"/>
                <w:szCs w:val="24"/>
              </w:rPr>
            </w:pPr>
            <w:r>
              <w:rPr>
                <w:rFonts w:hint="eastAsia" w:ascii="方正书宋_GBK" w:eastAsia="方正书宋_GBK" w:cs="方正书宋_GBK"/>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547" w:type="dxa"/>
            <w:gridSpan w:val="2"/>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政府采购项目来源</w:t>
            </w:r>
          </w:p>
        </w:tc>
        <w:tc>
          <w:tcPr>
            <w:tcW w:w="974" w:type="dxa"/>
            <w:vMerge w:val="restart"/>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采购物品名称</w:t>
            </w:r>
          </w:p>
        </w:tc>
        <w:tc>
          <w:tcPr>
            <w:tcW w:w="986" w:type="dxa"/>
            <w:vMerge w:val="restart"/>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政府采购目录序号</w:t>
            </w:r>
          </w:p>
        </w:tc>
        <w:tc>
          <w:tcPr>
            <w:tcW w:w="760" w:type="dxa"/>
            <w:vMerge w:val="restart"/>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数量</w:t>
            </w:r>
            <w:r>
              <w:rPr>
                <w:rFonts w:ascii="方正书宋_GBK" w:eastAsia="方正书宋_GBK" w:cs="方正书宋_GBK"/>
                <w:b/>
                <w:bCs/>
              </w:rPr>
              <w:t xml:space="preserve">  </w:t>
            </w:r>
            <w:r>
              <w:rPr>
                <w:rFonts w:hint="eastAsia" w:ascii="方正书宋_GBK" w:eastAsia="方正书宋_GBK" w:cs="方正书宋_GBK"/>
                <w:b/>
                <w:bCs/>
              </w:rPr>
              <w:t>单位</w:t>
            </w:r>
          </w:p>
        </w:tc>
        <w:tc>
          <w:tcPr>
            <w:tcW w:w="760" w:type="dxa"/>
            <w:vMerge w:val="restart"/>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数量</w:t>
            </w:r>
          </w:p>
        </w:tc>
        <w:tc>
          <w:tcPr>
            <w:tcW w:w="848" w:type="dxa"/>
            <w:vMerge w:val="restart"/>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单价</w:t>
            </w:r>
          </w:p>
        </w:tc>
        <w:tc>
          <w:tcPr>
            <w:tcW w:w="6693" w:type="dxa"/>
            <w:gridSpan w:val="7"/>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restart"/>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项目名称</w:t>
            </w:r>
          </w:p>
        </w:tc>
        <w:tc>
          <w:tcPr>
            <w:tcW w:w="1099" w:type="dxa"/>
            <w:vMerge w:val="restart"/>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预算资金</w:t>
            </w:r>
          </w:p>
        </w:tc>
        <w:tc>
          <w:tcPr>
            <w:tcW w:w="974" w:type="dxa"/>
            <w:vMerge w:val="continue"/>
            <w:vAlign w:val="center"/>
          </w:tcPr>
          <w:p>
            <w:pPr>
              <w:spacing w:line="300" w:lineRule="exact"/>
              <w:jc w:val="left"/>
              <w:outlineLvl w:val="0"/>
              <w:rPr>
                <w:rFonts w:cs="Arial"/>
              </w:rPr>
            </w:pPr>
          </w:p>
        </w:tc>
        <w:tc>
          <w:tcPr>
            <w:tcW w:w="986" w:type="dxa"/>
            <w:vMerge w:val="continue"/>
            <w:vAlign w:val="center"/>
          </w:tcPr>
          <w:p>
            <w:pPr>
              <w:spacing w:line="300" w:lineRule="exact"/>
              <w:jc w:val="left"/>
              <w:outlineLvl w:val="0"/>
              <w:rPr>
                <w:rFonts w:cs="Arial"/>
              </w:rPr>
            </w:pPr>
          </w:p>
        </w:tc>
        <w:tc>
          <w:tcPr>
            <w:tcW w:w="760" w:type="dxa"/>
            <w:vMerge w:val="continue"/>
            <w:vAlign w:val="center"/>
          </w:tcPr>
          <w:p>
            <w:pPr>
              <w:spacing w:line="300" w:lineRule="exact"/>
              <w:jc w:val="left"/>
              <w:outlineLvl w:val="0"/>
              <w:rPr>
                <w:rFonts w:cs="Arial"/>
              </w:rPr>
            </w:pPr>
          </w:p>
        </w:tc>
        <w:tc>
          <w:tcPr>
            <w:tcW w:w="760" w:type="dxa"/>
            <w:vMerge w:val="continue"/>
            <w:vAlign w:val="center"/>
          </w:tcPr>
          <w:p>
            <w:pPr>
              <w:spacing w:line="300" w:lineRule="exact"/>
              <w:jc w:val="left"/>
              <w:outlineLvl w:val="0"/>
              <w:rPr>
                <w:rFonts w:cs="Arial"/>
              </w:rPr>
            </w:pPr>
          </w:p>
        </w:tc>
        <w:tc>
          <w:tcPr>
            <w:tcW w:w="848" w:type="dxa"/>
            <w:vMerge w:val="continue"/>
            <w:vAlign w:val="center"/>
          </w:tcPr>
          <w:p>
            <w:pPr>
              <w:spacing w:line="300" w:lineRule="exact"/>
              <w:jc w:val="left"/>
              <w:outlineLvl w:val="0"/>
              <w:rPr>
                <w:rFonts w:cs="Arial"/>
              </w:rPr>
            </w:pPr>
          </w:p>
        </w:tc>
        <w:tc>
          <w:tcPr>
            <w:tcW w:w="961" w:type="dxa"/>
            <w:vMerge w:val="restart"/>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总计</w:t>
            </w:r>
          </w:p>
        </w:tc>
        <w:tc>
          <w:tcPr>
            <w:tcW w:w="4811" w:type="dxa"/>
            <w:gridSpan w:val="5"/>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当年部门预算安排资金</w:t>
            </w:r>
          </w:p>
        </w:tc>
        <w:tc>
          <w:tcPr>
            <w:tcW w:w="921" w:type="dxa"/>
            <w:vMerge w:val="restart"/>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48" w:type="dxa"/>
            <w:vMerge w:val="continue"/>
            <w:vAlign w:val="center"/>
          </w:tcPr>
          <w:p>
            <w:pPr>
              <w:spacing w:line="300" w:lineRule="exact"/>
              <w:jc w:val="left"/>
              <w:outlineLvl w:val="0"/>
              <w:rPr>
                <w:rFonts w:cs="Arial"/>
              </w:rPr>
            </w:pPr>
          </w:p>
        </w:tc>
        <w:tc>
          <w:tcPr>
            <w:tcW w:w="1099" w:type="dxa"/>
            <w:vMerge w:val="continue"/>
            <w:vAlign w:val="center"/>
          </w:tcPr>
          <w:p>
            <w:pPr>
              <w:spacing w:line="300" w:lineRule="exact"/>
              <w:jc w:val="left"/>
              <w:outlineLvl w:val="0"/>
              <w:rPr>
                <w:rFonts w:cs="Arial"/>
              </w:rPr>
            </w:pPr>
          </w:p>
        </w:tc>
        <w:tc>
          <w:tcPr>
            <w:tcW w:w="974" w:type="dxa"/>
            <w:vMerge w:val="continue"/>
            <w:vAlign w:val="center"/>
          </w:tcPr>
          <w:p>
            <w:pPr>
              <w:spacing w:line="300" w:lineRule="exact"/>
              <w:jc w:val="left"/>
              <w:outlineLvl w:val="0"/>
              <w:rPr>
                <w:rFonts w:cs="Arial"/>
              </w:rPr>
            </w:pPr>
          </w:p>
        </w:tc>
        <w:tc>
          <w:tcPr>
            <w:tcW w:w="986" w:type="dxa"/>
            <w:vMerge w:val="continue"/>
            <w:vAlign w:val="center"/>
          </w:tcPr>
          <w:p>
            <w:pPr>
              <w:spacing w:line="300" w:lineRule="exact"/>
              <w:jc w:val="left"/>
              <w:outlineLvl w:val="0"/>
              <w:rPr>
                <w:rFonts w:cs="Arial"/>
              </w:rPr>
            </w:pPr>
          </w:p>
        </w:tc>
        <w:tc>
          <w:tcPr>
            <w:tcW w:w="760" w:type="dxa"/>
            <w:vMerge w:val="continue"/>
            <w:vAlign w:val="center"/>
          </w:tcPr>
          <w:p>
            <w:pPr>
              <w:spacing w:line="300" w:lineRule="exact"/>
              <w:jc w:val="left"/>
              <w:outlineLvl w:val="0"/>
              <w:rPr>
                <w:rFonts w:cs="Arial"/>
              </w:rPr>
            </w:pPr>
          </w:p>
        </w:tc>
        <w:tc>
          <w:tcPr>
            <w:tcW w:w="760" w:type="dxa"/>
            <w:vMerge w:val="continue"/>
            <w:vAlign w:val="center"/>
          </w:tcPr>
          <w:p>
            <w:pPr>
              <w:spacing w:line="300" w:lineRule="exact"/>
              <w:jc w:val="left"/>
              <w:outlineLvl w:val="0"/>
              <w:rPr>
                <w:rFonts w:cs="Arial"/>
              </w:rPr>
            </w:pPr>
          </w:p>
        </w:tc>
        <w:tc>
          <w:tcPr>
            <w:tcW w:w="848" w:type="dxa"/>
            <w:vMerge w:val="continue"/>
            <w:vAlign w:val="center"/>
          </w:tcPr>
          <w:p>
            <w:pPr>
              <w:spacing w:line="300" w:lineRule="exact"/>
              <w:jc w:val="left"/>
              <w:outlineLvl w:val="0"/>
              <w:rPr>
                <w:rFonts w:cs="Arial"/>
              </w:rPr>
            </w:pPr>
          </w:p>
        </w:tc>
        <w:tc>
          <w:tcPr>
            <w:tcW w:w="961" w:type="dxa"/>
            <w:vMerge w:val="continue"/>
            <w:vAlign w:val="center"/>
          </w:tcPr>
          <w:p>
            <w:pPr>
              <w:spacing w:line="300" w:lineRule="exact"/>
              <w:jc w:val="left"/>
              <w:outlineLvl w:val="0"/>
              <w:rPr>
                <w:rFonts w:cs="Arial"/>
              </w:rPr>
            </w:pPr>
          </w:p>
        </w:tc>
        <w:tc>
          <w:tcPr>
            <w:tcW w:w="961" w:type="dxa"/>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合计</w:t>
            </w:r>
          </w:p>
        </w:tc>
        <w:tc>
          <w:tcPr>
            <w:tcW w:w="961" w:type="dxa"/>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一般公共预算拨款</w:t>
            </w:r>
          </w:p>
        </w:tc>
        <w:tc>
          <w:tcPr>
            <w:tcW w:w="961" w:type="dxa"/>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基金预算拨款</w:t>
            </w:r>
          </w:p>
        </w:tc>
        <w:tc>
          <w:tcPr>
            <w:tcW w:w="964" w:type="dxa"/>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财政专户核拨</w:t>
            </w:r>
          </w:p>
        </w:tc>
        <w:tc>
          <w:tcPr>
            <w:tcW w:w="964" w:type="dxa"/>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其他来源收入</w:t>
            </w:r>
          </w:p>
        </w:tc>
        <w:tc>
          <w:tcPr>
            <w:tcW w:w="921" w:type="dxa"/>
            <w:vMerge w:val="continue"/>
            <w:vAlign w:val="center"/>
          </w:tcPr>
          <w:p>
            <w:pPr>
              <w:spacing w:line="300" w:lineRule="exact"/>
              <w:jc w:val="left"/>
              <w:outlineLvl w:val="0"/>
              <w:rPr>
                <w:rFonts w:cs="Arial"/>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合　计</w:t>
            </w:r>
          </w:p>
        </w:tc>
        <w:tc>
          <w:tcPr>
            <w:tcW w:w="1099" w:type="dxa"/>
            <w:vAlign w:val="center"/>
          </w:tcPr>
          <w:p>
            <w:pPr>
              <w:spacing w:line="300" w:lineRule="exact"/>
              <w:jc w:val="right"/>
              <w:rPr>
                <w:rFonts w:ascii="方正书宋_GBK" w:eastAsia="方正书宋_GBK" w:cs="Arial"/>
                <w:b/>
                <w:bCs/>
              </w:rPr>
            </w:pPr>
          </w:p>
        </w:tc>
        <w:tc>
          <w:tcPr>
            <w:tcW w:w="974" w:type="dxa"/>
            <w:vAlign w:val="center"/>
          </w:tcPr>
          <w:p>
            <w:pPr>
              <w:spacing w:line="300" w:lineRule="exact"/>
              <w:jc w:val="left"/>
              <w:rPr>
                <w:rFonts w:ascii="方正书宋_GBK" w:eastAsia="方正书宋_GBK" w:cs="Arial"/>
                <w:b/>
                <w:bCs/>
              </w:rPr>
            </w:pPr>
          </w:p>
        </w:tc>
        <w:tc>
          <w:tcPr>
            <w:tcW w:w="986" w:type="dxa"/>
            <w:vAlign w:val="center"/>
          </w:tcPr>
          <w:p>
            <w:pPr>
              <w:spacing w:line="300" w:lineRule="exact"/>
              <w:jc w:val="left"/>
              <w:rPr>
                <w:rFonts w:ascii="方正书宋_GBK" w:eastAsia="方正书宋_GBK" w:cs="Arial"/>
                <w:b/>
                <w:bCs/>
              </w:rPr>
            </w:pPr>
          </w:p>
        </w:tc>
        <w:tc>
          <w:tcPr>
            <w:tcW w:w="760" w:type="dxa"/>
            <w:vAlign w:val="center"/>
          </w:tcPr>
          <w:p>
            <w:pPr>
              <w:spacing w:line="300" w:lineRule="exact"/>
              <w:jc w:val="left"/>
              <w:rPr>
                <w:rFonts w:ascii="方正书宋_GBK" w:eastAsia="方正书宋_GBK" w:cs="Arial"/>
                <w:b/>
                <w:bCs/>
              </w:rPr>
            </w:pPr>
          </w:p>
        </w:tc>
        <w:tc>
          <w:tcPr>
            <w:tcW w:w="760" w:type="dxa"/>
            <w:vAlign w:val="center"/>
          </w:tcPr>
          <w:p>
            <w:pPr>
              <w:spacing w:line="300" w:lineRule="exact"/>
              <w:jc w:val="right"/>
              <w:rPr>
                <w:rFonts w:ascii="方正书宋_GBK" w:eastAsia="方正书宋_GBK" w:cs="Arial"/>
                <w:b/>
                <w:bCs/>
              </w:rPr>
            </w:pPr>
          </w:p>
        </w:tc>
        <w:tc>
          <w:tcPr>
            <w:tcW w:w="848" w:type="dxa"/>
            <w:vAlign w:val="center"/>
          </w:tcPr>
          <w:p>
            <w:pPr>
              <w:spacing w:line="300" w:lineRule="exact"/>
              <w:jc w:val="right"/>
              <w:rPr>
                <w:rFonts w:ascii="方正书宋_GBK" w:eastAsia="方正书宋_GBK" w:cs="Arial"/>
                <w:b/>
                <w:bCs/>
              </w:rPr>
            </w:pPr>
          </w:p>
        </w:tc>
        <w:tc>
          <w:tcPr>
            <w:tcW w:w="961" w:type="dxa"/>
            <w:vAlign w:val="center"/>
          </w:tcPr>
          <w:p>
            <w:pPr>
              <w:spacing w:line="300" w:lineRule="exact"/>
              <w:jc w:val="right"/>
              <w:rPr>
                <w:rFonts w:ascii="方正书宋_GBK" w:eastAsia="方正书宋_GBK" w:cs="方正书宋_GBK"/>
                <w:b/>
                <w:bCs/>
              </w:rPr>
            </w:pPr>
            <w:r>
              <w:rPr>
                <w:rFonts w:ascii="方正书宋_GBK" w:eastAsia="方正书宋_GBK" w:cs="方正书宋_GBK"/>
                <w:b/>
                <w:bCs/>
              </w:rPr>
              <w:t>657.91</w:t>
            </w:r>
          </w:p>
        </w:tc>
        <w:tc>
          <w:tcPr>
            <w:tcW w:w="961" w:type="dxa"/>
            <w:vAlign w:val="center"/>
          </w:tcPr>
          <w:p>
            <w:pPr>
              <w:spacing w:line="300" w:lineRule="exact"/>
              <w:jc w:val="right"/>
              <w:rPr>
                <w:rFonts w:ascii="方正书宋_GBK" w:eastAsia="方正书宋_GBK" w:cs="方正书宋_GBK"/>
                <w:b/>
                <w:bCs/>
              </w:rPr>
            </w:pPr>
            <w:r>
              <w:rPr>
                <w:rFonts w:ascii="方正书宋_GBK" w:eastAsia="方正书宋_GBK" w:cs="方正书宋_GBK"/>
                <w:b/>
                <w:bCs/>
              </w:rPr>
              <w:t>657.91</w:t>
            </w:r>
          </w:p>
        </w:tc>
        <w:tc>
          <w:tcPr>
            <w:tcW w:w="961" w:type="dxa"/>
            <w:vAlign w:val="center"/>
          </w:tcPr>
          <w:p>
            <w:pPr>
              <w:spacing w:line="300" w:lineRule="exact"/>
              <w:jc w:val="right"/>
              <w:rPr>
                <w:rFonts w:ascii="方正书宋_GBK" w:eastAsia="方正书宋_GBK" w:cs="方正书宋_GBK"/>
                <w:b/>
                <w:bCs/>
              </w:rPr>
            </w:pPr>
            <w:r>
              <w:rPr>
                <w:rFonts w:ascii="方正书宋_GBK" w:eastAsia="方正书宋_GBK" w:cs="方正书宋_GBK"/>
                <w:b/>
                <w:bCs/>
              </w:rPr>
              <w:t>657.91</w:t>
            </w:r>
          </w:p>
        </w:tc>
        <w:tc>
          <w:tcPr>
            <w:tcW w:w="961" w:type="dxa"/>
            <w:vAlign w:val="center"/>
          </w:tcPr>
          <w:p>
            <w:pPr>
              <w:spacing w:line="300" w:lineRule="exact"/>
              <w:jc w:val="right"/>
              <w:rPr>
                <w:rFonts w:ascii="方正书宋_GBK" w:eastAsia="方正书宋_GBK" w:cs="方正书宋_GBK"/>
                <w:b/>
                <w:bCs/>
              </w:rPr>
            </w:pPr>
          </w:p>
        </w:tc>
        <w:tc>
          <w:tcPr>
            <w:tcW w:w="964" w:type="dxa"/>
            <w:vAlign w:val="center"/>
          </w:tcPr>
          <w:p>
            <w:pPr>
              <w:spacing w:line="300" w:lineRule="exact"/>
              <w:jc w:val="right"/>
              <w:rPr>
                <w:rFonts w:ascii="方正书宋_GBK" w:eastAsia="方正书宋_GBK" w:cs="方正书宋_GBK"/>
                <w:b/>
                <w:bCs/>
              </w:rPr>
            </w:pPr>
          </w:p>
        </w:tc>
        <w:tc>
          <w:tcPr>
            <w:tcW w:w="964" w:type="dxa"/>
            <w:vAlign w:val="center"/>
          </w:tcPr>
          <w:p>
            <w:pPr>
              <w:spacing w:line="300" w:lineRule="exact"/>
              <w:jc w:val="right"/>
              <w:rPr>
                <w:rFonts w:ascii="方正书宋_GBK" w:eastAsia="方正书宋_GBK" w:cs="方正书宋_GBK"/>
                <w:b/>
                <w:bCs/>
              </w:rPr>
            </w:pPr>
          </w:p>
        </w:tc>
        <w:tc>
          <w:tcPr>
            <w:tcW w:w="921" w:type="dxa"/>
            <w:vAlign w:val="center"/>
          </w:tcPr>
          <w:p>
            <w:pPr>
              <w:spacing w:line="300" w:lineRule="exact"/>
              <w:jc w:val="right"/>
              <w:rPr>
                <w:rFonts w:ascii="方正书宋_GBK" w:eastAsia="方正书宋_GBK" w:cs="方正书宋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center"/>
              <w:rPr>
                <w:rFonts w:ascii="方正书宋_GBK" w:eastAsia="方正书宋_GBK" w:cs="Arial"/>
                <w:b/>
                <w:bCs/>
              </w:rPr>
            </w:pPr>
            <w:r>
              <w:rPr>
                <w:rFonts w:hint="eastAsia" w:ascii="方正书宋_GBK" w:eastAsia="方正书宋_GBK" w:cs="方正书宋_GBK"/>
                <w:b/>
                <w:bCs/>
              </w:rPr>
              <w:t>新华区市场监督管理局小计</w:t>
            </w:r>
          </w:p>
        </w:tc>
        <w:tc>
          <w:tcPr>
            <w:tcW w:w="1099" w:type="dxa"/>
            <w:vAlign w:val="center"/>
          </w:tcPr>
          <w:p>
            <w:pPr>
              <w:spacing w:line="300" w:lineRule="exact"/>
              <w:jc w:val="right"/>
              <w:rPr>
                <w:rFonts w:ascii="方正书宋_GBK" w:eastAsia="方正书宋_GBK" w:cs="Arial"/>
                <w:b/>
                <w:bCs/>
              </w:rPr>
            </w:pPr>
          </w:p>
        </w:tc>
        <w:tc>
          <w:tcPr>
            <w:tcW w:w="974" w:type="dxa"/>
            <w:vAlign w:val="center"/>
          </w:tcPr>
          <w:p>
            <w:pPr>
              <w:spacing w:line="300" w:lineRule="exact"/>
              <w:jc w:val="left"/>
              <w:rPr>
                <w:rFonts w:ascii="方正书宋_GBK" w:eastAsia="方正书宋_GBK" w:cs="Arial"/>
                <w:b/>
                <w:bCs/>
              </w:rPr>
            </w:pPr>
          </w:p>
        </w:tc>
        <w:tc>
          <w:tcPr>
            <w:tcW w:w="986" w:type="dxa"/>
            <w:vAlign w:val="center"/>
          </w:tcPr>
          <w:p>
            <w:pPr>
              <w:spacing w:line="300" w:lineRule="exact"/>
              <w:jc w:val="left"/>
              <w:rPr>
                <w:rFonts w:ascii="方正书宋_GBK" w:eastAsia="方正书宋_GBK" w:cs="Arial"/>
                <w:b/>
                <w:bCs/>
              </w:rPr>
            </w:pPr>
          </w:p>
        </w:tc>
        <w:tc>
          <w:tcPr>
            <w:tcW w:w="760" w:type="dxa"/>
            <w:vAlign w:val="center"/>
          </w:tcPr>
          <w:p>
            <w:pPr>
              <w:spacing w:line="300" w:lineRule="exact"/>
              <w:jc w:val="left"/>
              <w:rPr>
                <w:rFonts w:ascii="方正书宋_GBK" w:eastAsia="方正书宋_GBK" w:cs="Arial"/>
                <w:b/>
                <w:bCs/>
              </w:rPr>
            </w:pPr>
          </w:p>
        </w:tc>
        <w:tc>
          <w:tcPr>
            <w:tcW w:w="760" w:type="dxa"/>
            <w:vAlign w:val="center"/>
          </w:tcPr>
          <w:p>
            <w:pPr>
              <w:spacing w:line="300" w:lineRule="exact"/>
              <w:jc w:val="right"/>
              <w:rPr>
                <w:rFonts w:ascii="方正书宋_GBK" w:eastAsia="方正书宋_GBK" w:cs="Arial"/>
                <w:b/>
                <w:bCs/>
              </w:rPr>
            </w:pPr>
          </w:p>
        </w:tc>
        <w:tc>
          <w:tcPr>
            <w:tcW w:w="848" w:type="dxa"/>
            <w:vAlign w:val="center"/>
          </w:tcPr>
          <w:p>
            <w:pPr>
              <w:spacing w:line="300" w:lineRule="exact"/>
              <w:jc w:val="right"/>
              <w:rPr>
                <w:rFonts w:ascii="方正书宋_GBK" w:eastAsia="方正书宋_GBK" w:cs="Arial"/>
                <w:b/>
                <w:bCs/>
              </w:rPr>
            </w:pPr>
          </w:p>
        </w:tc>
        <w:tc>
          <w:tcPr>
            <w:tcW w:w="961" w:type="dxa"/>
            <w:vAlign w:val="center"/>
          </w:tcPr>
          <w:p>
            <w:pPr>
              <w:spacing w:line="300" w:lineRule="exact"/>
              <w:jc w:val="right"/>
              <w:rPr>
                <w:rFonts w:ascii="方正书宋_GBK" w:eastAsia="方正书宋_GBK" w:cs="方正书宋_GBK"/>
                <w:b/>
                <w:bCs/>
              </w:rPr>
            </w:pPr>
            <w:r>
              <w:rPr>
                <w:rFonts w:ascii="方正书宋_GBK" w:eastAsia="方正书宋_GBK" w:cs="方正书宋_GBK"/>
                <w:b/>
                <w:bCs/>
              </w:rPr>
              <w:t>657.91</w:t>
            </w:r>
          </w:p>
        </w:tc>
        <w:tc>
          <w:tcPr>
            <w:tcW w:w="961" w:type="dxa"/>
            <w:vAlign w:val="center"/>
          </w:tcPr>
          <w:p>
            <w:pPr>
              <w:spacing w:line="300" w:lineRule="exact"/>
              <w:jc w:val="right"/>
              <w:rPr>
                <w:rFonts w:ascii="方正书宋_GBK" w:eastAsia="方正书宋_GBK" w:cs="方正书宋_GBK"/>
                <w:b/>
                <w:bCs/>
              </w:rPr>
            </w:pPr>
            <w:r>
              <w:rPr>
                <w:rFonts w:ascii="方正书宋_GBK" w:eastAsia="方正书宋_GBK" w:cs="方正书宋_GBK"/>
                <w:b/>
                <w:bCs/>
              </w:rPr>
              <w:t>657.91</w:t>
            </w:r>
          </w:p>
        </w:tc>
        <w:tc>
          <w:tcPr>
            <w:tcW w:w="961" w:type="dxa"/>
            <w:vAlign w:val="center"/>
          </w:tcPr>
          <w:p>
            <w:pPr>
              <w:spacing w:line="300" w:lineRule="exact"/>
              <w:jc w:val="right"/>
              <w:rPr>
                <w:rFonts w:ascii="方正书宋_GBK" w:eastAsia="方正书宋_GBK" w:cs="方正书宋_GBK"/>
                <w:b/>
                <w:bCs/>
              </w:rPr>
            </w:pPr>
            <w:r>
              <w:rPr>
                <w:rFonts w:ascii="方正书宋_GBK" w:eastAsia="方正书宋_GBK" w:cs="方正书宋_GBK"/>
                <w:b/>
                <w:bCs/>
              </w:rPr>
              <w:t>657.91</w:t>
            </w:r>
          </w:p>
        </w:tc>
        <w:tc>
          <w:tcPr>
            <w:tcW w:w="961" w:type="dxa"/>
            <w:vAlign w:val="center"/>
          </w:tcPr>
          <w:p>
            <w:pPr>
              <w:spacing w:line="300" w:lineRule="exact"/>
              <w:jc w:val="right"/>
              <w:rPr>
                <w:rFonts w:ascii="方正书宋_GBK" w:eastAsia="方正书宋_GBK" w:cs="方正书宋_GBK"/>
                <w:b/>
                <w:bCs/>
              </w:rPr>
            </w:pPr>
          </w:p>
        </w:tc>
        <w:tc>
          <w:tcPr>
            <w:tcW w:w="964" w:type="dxa"/>
            <w:vAlign w:val="center"/>
          </w:tcPr>
          <w:p>
            <w:pPr>
              <w:spacing w:line="300" w:lineRule="exact"/>
              <w:jc w:val="right"/>
              <w:rPr>
                <w:rFonts w:ascii="方正书宋_GBK" w:eastAsia="方正书宋_GBK" w:cs="方正书宋_GBK"/>
                <w:b/>
                <w:bCs/>
              </w:rPr>
            </w:pPr>
          </w:p>
        </w:tc>
        <w:tc>
          <w:tcPr>
            <w:tcW w:w="964" w:type="dxa"/>
            <w:vAlign w:val="center"/>
          </w:tcPr>
          <w:p>
            <w:pPr>
              <w:spacing w:line="300" w:lineRule="exact"/>
              <w:jc w:val="right"/>
              <w:rPr>
                <w:rFonts w:ascii="方正书宋_GBK" w:eastAsia="方正书宋_GBK" w:cs="方正书宋_GBK"/>
                <w:b/>
                <w:bCs/>
              </w:rPr>
            </w:pPr>
          </w:p>
        </w:tc>
        <w:tc>
          <w:tcPr>
            <w:tcW w:w="921" w:type="dxa"/>
            <w:vAlign w:val="center"/>
          </w:tcPr>
          <w:p>
            <w:pPr>
              <w:spacing w:line="300" w:lineRule="exact"/>
              <w:jc w:val="right"/>
              <w:rPr>
                <w:rFonts w:ascii="方正书宋_GBK" w:eastAsia="方正书宋_GBK" w:cs="方正书宋_GBK"/>
                <w:b/>
                <w:bCs/>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left"/>
              <w:rPr>
                <w:rFonts w:ascii="方正书宋_GBK" w:eastAsia="方正书宋_GBK" w:cs="Arial"/>
              </w:rPr>
            </w:pPr>
            <w:r>
              <w:rPr>
                <w:rFonts w:hint="eastAsia" w:ascii="方正书宋_GBK" w:eastAsia="方正书宋_GBK" w:cs="方正书宋_GBK"/>
              </w:rPr>
              <w:t>综合事务管理</w:t>
            </w:r>
          </w:p>
        </w:tc>
        <w:tc>
          <w:tcPr>
            <w:tcW w:w="1099" w:type="dxa"/>
            <w:vAlign w:val="center"/>
          </w:tcPr>
          <w:p>
            <w:pPr>
              <w:spacing w:line="300" w:lineRule="exact"/>
              <w:jc w:val="right"/>
              <w:rPr>
                <w:rFonts w:ascii="方正书宋_GBK" w:eastAsia="方正书宋_GBK" w:cs="方正书宋_GBK"/>
              </w:rPr>
            </w:pPr>
            <w:r>
              <w:rPr>
                <w:rFonts w:ascii="方正书宋_GBK" w:eastAsia="方正书宋_GBK" w:cs="方正书宋_GBK"/>
              </w:rPr>
              <w:t>10.00</w:t>
            </w:r>
          </w:p>
        </w:tc>
        <w:tc>
          <w:tcPr>
            <w:tcW w:w="974" w:type="dxa"/>
            <w:vAlign w:val="center"/>
          </w:tcPr>
          <w:p>
            <w:pPr>
              <w:spacing w:line="300" w:lineRule="exact"/>
              <w:jc w:val="left"/>
              <w:rPr>
                <w:rFonts w:ascii="方正书宋_GBK" w:eastAsia="方正书宋_GBK" w:cs="Arial"/>
              </w:rPr>
            </w:pPr>
            <w:r>
              <w:rPr>
                <w:rFonts w:hint="eastAsia" w:ascii="方正书宋_GBK" w:eastAsia="方正书宋_GBK" w:cs="方正书宋_GBK"/>
              </w:rPr>
              <w:t>货物</w:t>
            </w:r>
          </w:p>
        </w:tc>
        <w:tc>
          <w:tcPr>
            <w:tcW w:w="986" w:type="dxa"/>
            <w:vAlign w:val="center"/>
          </w:tcPr>
          <w:p>
            <w:pPr>
              <w:spacing w:line="300" w:lineRule="exact"/>
              <w:jc w:val="left"/>
              <w:rPr>
                <w:rFonts w:ascii="方正书宋_GBK" w:eastAsia="方正书宋_GBK" w:cs="方正书宋_GBK"/>
              </w:rPr>
            </w:pPr>
            <w:r>
              <w:rPr>
                <w:rFonts w:ascii="方正书宋_GBK" w:eastAsia="方正书宋_GBK" w:cs="方正书宋_GBK"/>
              </w:rPr>
              <w:t>A</w:t>
            </w:r>
          </w:p>
        </w:tc>
        <w:tc>
          <w:tcPr>
            <w:tcW w:w="760" w:type="dxa"/>
            <w:vAlign w:val="center"/>
          </w:tcPr>
          <w:p>
            <w:pPr>
              <w:spacing w:line="300" w:lineRule="exact"/>
              <w:jc w:val="left"/>
              <w:rPr>
                <w:rFonts w:ascii="方正书宋_GBK" w:eastAsia="方正书宋_GBK" w:cs="Arial"/>
              </w:rPr>
            </w:pPr>
            <w:r>
              <w:rPr>
                <w:rFonts w:hint="eastAsia" w:ascii="方正书宋_GBK" w:eastAsia="方正书宋_GBK" w:cs="方正书宋_GBK"/>
              </w:rPr>
              <w:t>套</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2.00</w:t>
            </w:r>
          </w:p>
        </w:tc>
        <w:tc>
          <w:tcPr>
            <w:tcW w:w="848" w:type="dxa"/>
            <w:vAlign w:val="center"/>
          </w:tcPr>
          <w:p>
            <w:pPr>
              <w:spacing w:line="300" w:lineRule="exact"/>
              <w:jc w:val="right"/>
              <w:rPr>
                <w:rFonts w:ascii="方正书宋_GBK" w:eastAsia="方正书宋_GBK" w:cs="方正书宋_GBK"/>
              </w:rPr>
            </w:pPr>
            <w:r>
              <w:rPr>
                <w:rFonts w:ascii="方正书宋_GBK" w:eastAsia="方正书宋_GBK" w:cs="方正书宋_GBK"/>
              </w:rPr>
              <w:t>1.50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3.00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3.00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3.00</w:t>
            </w:r>
          </w:p>
        </w:tc>
        <w:tc>
          <w:tcPr>
            <w:tcW w:w="961"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21"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left"/>
              <w:rPr>
                <w:rFonts w:ascii="方正书宋_GBK" w:eastAsia="方正书宋_GBK" w:cs="Arial"/>
              </w:rPr>
            </w:pPr>
            <w:r>
              <w:rPr>
                <w:rFonts w:hint="eastAsia" w:ascii="方正书宋_GBK" w:eastAsia="方正书宋_GBK" w:cs="方正书宋_GBK"/>
              </w:rPr>
              <w:t>配发制服经费</w:t>
            </w:r>
          </w:p>
        </w:tc>
        <w:tc>
          <w:tcPr>
            <w:tcW w:w="1099" w:type="dxa"/>
            <w:vAlign w:val="center"/>
          </w:tcPr>
          <w:p>
            <w:pPr>
              <w:spacing w:line="300" w:lineRule="exact"/>
              <w:jc w:val="right"/>
              <w:rPr>
                <w:rFonts w:ascii="方正书宋_GBK" w:eastAsia="方正书宋_GBK" w:cs="方正书宋_GBK"/>
              </w:rPr>
            </w:pPr>
            <w:r>
              <w:rPr>
                <w:rFonts w:ascii="方正书宋_GBK" w:eastAsia="方正书宋_GBK" w:cs="方正书宋_GBK"/>
              </w:rPr>
              <w:t>123.28</w:t>
            </w:r>
          </w:p>
        </w:tc>
        <w:tc>
          <w:tcPr>
            <w:tcW w:w="974" w:type="dxa"/>
            <w:vAlign w:val="center"/>
          </w:tcPr>
          <w:p>
            <w:pPr>
              <w:spacing w:line="300" w:lineRule="exact"/>
              <w:jc w:val="left"/>
              <w:rPr>
                <w:rFonts w:ascii="方正书宋_GBK" w:eastAsia="方正书宋_GBK" w:cs="Arial"/>
              </w:rPr>
            </w:pPr>
            <w:r>
              <w:rPr>
                <w:rFonts w:hint="eastAsia" w:ascii="方正书宋_GBK" w:eastAsia="方正书宋_GBK" w:cs="方正书宋_GBK"/>
              </w:rPr>
              <w:t>货物</w:t>
            </w:r>
          </w:p>
        </w:tc>
        <w:tc>
          <w:tcPr>
            <w:tcW w:w="986" w:type="dxa"/>
            <w:vAlign w:val="center"/>
          </w:tcPr>
          <w:p>
            <w:pPr>
              <w:spacing w:line="300" w:lineRule="exact"/>
              <w:jc w:val="left"/>
              <w:rPr>
                <w:rFonts w:ascii="方正书宋_GBK" w:eastAsia="方正书宋_GBK" w:cs="方正书宋_GBK"/>
              </w:rPr>
            </w:pPr>
            <w:r>
              <w:rPr>
                <w:rFonts w:ascii="方正书宋_GBK" w:eastAsia="方正书宋_GBK" w:cs="方正书宋_GBK"/>
              </w:rPr>
              <w:t>A</w:t>
            </w:r>
          </w:p>
        </w:tc>
        <w:tc>
          <w:tcPr>
            <w:tcW w:w="760" w:type="dxa"/>
            <w:vAlign w:val="center"/>
          </w:tcPr>
          <w:p>
            <w:pPr>
              <w:spacing w:line="300" w:lineRule="exact"/>
              <w:jc w:val="left"/>
              <w:rPr>
                <w:rFonts w:ascii="方正书宋_GBK" w:eastAsia="方正书宋_GBK" w:cs="Arial"/>
              </w:rPr>
            </w:pPr>
            <w:r>
              <w:rPr>
                <w:rFonts w:hint="eastAsia" w:ascii="方正书宋_GBK" w:eastAsia="方正书宋_GBK" w:cs="方正书宋_GBK"/>
              </w:rPr>
              <w:t>批</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848" w:type="dxa"/>
            <w:vAlign w:val="center"/>
          </w:tcPr>
          <w:p>
            <w:pPr>
              <w:spacing w:line="300" w:lineRule="exact"/>
              <w:jc w:val="right"/>
              <w:rPr>
                <w:rFonts w:ascii="方正书宋_GBK" w:eastAsia="方正书宋_GBK" w:cs="方正书宋_GBK"/>
              </w:rPr>
            </w:pPr>
            <w:r>
              <w:rPr>
                <w:rFonts w:ascii="方正书宋_GBK" w:eastAsia="方正书宋_GBK" w:cs="方正书宋_GBK"/>
              </w:rPr>
              <w:t>123.28</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123.28</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123.28</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123.28</w:t>
            </w:r>
          </w:p>
        </w:tc>
        <w:tc>
          <w:tcPr>
            <w:tcW w:w="961"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21"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left"/>
              <w:rPr>
                <w:rFonts w:ascii="方正书宋_GBK" w:eastAsia="方正书宋_GBK" w:cs="Arial"/>
              </w:rPr>
            </w:pPr>
            <w:r>
              <w:rPr>
                <w:rFonts w:hint="eastAsia" w:ascii="方正书宋_GBK" w:eastAsia="方正书宋_GBK" w:cs="方正书宋_GBK"/>
              </w:rPr>
              <w:t>市场监督管理</w:t>
            </w:r>
          </w:p>
        </w:tc>
        <w:tc>
          <w:tcPr>
            <w:tcW w:w="1099" w:type="dxa"/>
            <w:vAlign w:val="center"/>
          </w:tcPr>
          <w:p>
            <w:pPr>
              <w:spacing w:line="300" w:lineRule="exact"/>
              <w:jc w:val="right"/>
              <w:rPr>
                <w:rFonts w:ascii="方正书宋_GBK" w:eastAsia="方正书宋_GBK" w:cs="方正书宋_GBK"/>
              </w:rPr>
            </w:pPr>
            <w:r>
              <w:rPr>
                <w:rFonts w:ascii="方正书宋_GBK" w:eastAsia="方正书宋_GBK" w:cs="方正书宋_GBK"/>
              </w:rPr>
              <w:t>165.00</w:t>
            </w:r>
          </w:p>
        </w:tc>
        <w:tc>
          <w:tcPr>
            <w:tcW w:w="974" w:type="dxa"/>
            <w:vAlign w:val="center"/>
          </w:tcPr>
          <w:p>
            <w:pPr>
              <w:spacing w:line="300" w:lineRule="exact"/>
              <w:jc w:val="left"/>
              <w:rPr>
                <w:rFonts w:ascii="方正书宋_GBK" w:eastAsia="方正书宋_GBK" w:cs="Arial"/>
              </w:rPr>
            </w:pPr>
            <w:r>
              <w:rPr>
                <w:rFonts w:hint="eastAsia" w:ascii="方正书宋_GBK" w:eastAsia="方正书宋_GBK" w:cs="方正书宋_GBK"/>
              </w:rPr>
              <w:t>服务</w:t>
            </w:r>
          </w:p>
        </w:tc>
        <w:tc>
          <w:tcPr>
            <w:tcW w:w="986" w:type="dxa"/>
            <w:vAlign w:val="center"/>
          </w:tcPr>
          <w:p>
            <w:pPr>
              <w:spacing w:line="300" w:lineRule="exact"/>
              <w:jc w:val="left"/>
              <w:rPr>
                <w:rFonts w:ascii="方正书宋_GBK" w:eastAsia="方正书宋_GBK" w:cs="方正书宋_GBK"/>
              </w:rPr>
            </w:pPr>
            <w:r>
              <w:rPr>
                <w:rFonts w:ascii="方正书宋_GBK" w:eastAsia="方正书宋_GBK" w:cs="方正书宋_GBK"/>
              </w:rPr>
              <w:t>C</w:t>
            </w:r>
          </w:p>
        </w:tc>
        <w:tc>
          <w:tcPr>
            <w:tcW w:w="760" w:type="dxa"/>
            <w:vAlign w:val="center"/>
          </w:tcPr>
          <w:p>
            <w:pPr>
              <w:spacing w:line="300" w:lineRule="exact"/>
              <w:jc w:val="left"/>
              <w:rPr>
                <w:rFonts w:ascii="方正书宋_GBK" w:eastAsia="方正书宋_GBK" w:cs="Arial"/>
              </w:rPr>
            </w:pPr>
            <w:r>
              <w:rPr>
                <w:rFonts w:hint="eastAsia" w:ascii="方正书宋_GBK" w:eastAsia="方正书宋_GBK" w:cs="方正书宋_GBK"/>
              </w:rPr>
              <w:t>批</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848" w:type="dxa"/>
            <w:vAlign w:val="center"/>
          </w:tcPr>
          <w:p>
            <w:pPr>
              <w:spacing w:line="300" w:lineRule="exact"/>
              <w:jc w:val="right"/>
              <w:rPr>
                <w:rFonts w:ascii="方正书宋_GBK" w:eastAsia="方正书宋_GBK" w:cs="方正书宋_GBK"/>
              </w:rPr>
            </w:pPr>
            <w:r>
              <w:rPr>
                <w:rFonts w:ascii="方正书宋_GBK" w:eastAsia="方正书宋_GBK" w:cs="方正书宋_GBK"/>
              </w:rPr>
              <w:t>46.00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46.00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46.00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46.00</w:t>
            </w:r>
          </w:p>
        </w:tc>
        <w:tc>
          <w:tcPr>
            <w:tcW w:w="961"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21"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left"/>
              <w:rPr>
                <w:rFonts w:ascii="方正书宋_GBK" w:eastAsia="方正书宋_GBK" w:cs="Arial"/>
              </w:rPr>
            </w:pPr>
            <w:r>
              <w:rPr>
                <w:rFonts w:hint="eastAsia" w:ascii="方正书宋_GBK" w:eastAsia="方正书宋_GBK" w:cs="方正书宋_GBK"/>
              </w:rPr>
              <w:t>食品（含保健品）安全抽检经费</w:t>
            </w:r>
          </w:p>
        </w:tc>
        <w:tc>
          <w:tcPr>
            <w:tcW w:w="1099" w:type="dxa"/>
            <w:vAlign w:val="center"/>
          </w:tcPr>
          <w:p>
            <w:pPr>
              <w:spacing w:line="300" w:lineRule="exact"/>
              <w:jc w:val="right"/>
              <w:rPr>
                <w:rFonts w:ascii="方正书宋_GBK" w:eastAsia="方正书宋_GBK" w:cs="方正书宋_GBK"/>
              </w:rPr>
            </w:pPr>
            <w:r>
              <w:rPr>
                <w:rFonts w:ascii="方正书宋_GBK" w:eastAsia="方正书宋_GBK" w:cs="方正书宋_GBK"/>
              </w:rPr>
              <w:t>314.00</w:t>
            </w:r>
          </w:p>
        </w:tc>
        <w:tc>
          <w:tcPr>
            <w:tcW w:w="974" w:type="dxa"/>
            <w:vAlign w:val="center"/>
          </w:tcPr>
          <w:p>
            <w:pPr>
              <w:spacing w:line="300" w:lineRule="exact"/>
              <w:jc w:val="left"/>
              <w:rPr>
                <w:rFonts w:ascii="方正书宋_GBK" w:eastAsia="方正书宋_GBK" w:cs="Arial"/>
              </w:rPr>
            </w:pPr>
            <w:r>
              <w:rPr>
                <w:rFonts w:hint="eastAsia" w:ascii="方正书宋_GBK" w:eastAsia="方正书宋_GBK" w:cs="方正书宋_GBK"/>
              </w:rPr>
              <w:t>服务</w:t>
            </w:r>
          </w:p>
        </w:tc>
        <w:tc>
          <w:tcPr>
            <w:tcW w:w="986" w:type="dxa"/>
            <w:vAlign w:val="center"/>
          </w:tcPr>
          <w:p>
            <w:pPr>
              <w:spacing w:line="300" w:lineRule="exact"/>
              <w:jc w:val="left"/>
              <w:rPr>
                <w:rFonts w:ascii="方正书宋_GBK" w:eastAsia="方正书宋_GBK" w:cs="方正书宋_GBK"/>
              </w:rPr>
            </w:pPr>
            <w:r>
              <w:rPr>
                <w:rFonts w:ascii="方正书宋_GBK" w:eastAsia="方正书宋_GBK" w:cs="方正书宋_GBK"/>
              </w:rPr>
              <w:t>C</w:t>
            </w:r>
          </w:p>
        </w:tc>
        <w:tc>
          <w:tcPr>
            <w:tcW w:w="760" w:type="dxa"/>
            <w:vAlign w:val="center"/>
          </w:tcPr>
          <w:p>
            <w:pPr>
              <w:spacing w:line="300" w:lineRule="exact"/>
              <w:jc w:val="left"/>
              <w:rPr>
                <w:rFonts w:ascii="方正书宋_GBK" w:eastAsia="方正书宋_GBK" w:cs="Arial"/>
              </w:rPr>
            </w:pPr>
            <w:r>
              <w:rPr>
                <w:rFonts w:hint="eastAsia" w:ascii="方正书宋_GBK" w:eastAsia="方正书宋_GBK" w:cs="方正书宋_GBK"/>
              </w:rPr>
              <w:t>批</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848" w:type="dxa"/>
            <w:vAlign w:val="center"/>
          </w:tcPr>
          <w:p>
            <w:pPr>
              <w:spacing w:line="300" w:lineRule="exact"/>
              <w:jc w:val="right"/>
              <w:rPr>
                <w:rFonts w:ascii="方正书宋_GBK" w:eastAsia="方正书宋_GBK" w:cs="方正书宋_GBK"/>
              </w:rPr>
            </w:pPr>
            <w:r>
              <w:rPr>
                <w:rFonts w:ascii="方正书宋_GBK" w:eastAsia="方正书宋_GBK" w:cs="方正书宋_GBK"/>
              </w:rPr>
              <w:t>34.00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34.00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34.00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34.00</w:t>
            </w:r>
          </w:p>
        </w:tc>
        <w:tc>
          <w:tcPr>
            <w:tcW w:w="961"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21"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left"/>
              <w:rPr>
                <w:rFonts w:ascii="方正书宋_GBK" w:eastAsia="方正书宋_GBK" w:cs="Arial"/>
              </w:rPr>
            </w:pPr>
            <w:r>
              <w:rPr>
                <w:rFonts w:hint="eastAsia" w:ascii="方正书宋_GBK" w:eastAsia="方正书宋_GBK" w:cs="方正书宋_GBK"/>
              </w:rPr>
              <w:t>食品（含保健品）安全抽检经费</w:t>
            </w:r>
          </w:p>
        </w:tc>
        <w:tc>
          <w:tcPr>
            <w:tcW w:w="1099" w:type="dxa"/>
            <w:vAlign w:val="center"/>
          </w:tcPr>
          <w:p>
            <w:pPr>
              <w:spacing w:line="300" w:lineRule="exact"/>
              <w:jc w:val="right"/>
              <w:rPr>
                <w:rFonts w:ascii="方正书宋_GBK" w:eastAsia="方正书宋_GBK" w:cs="方正书宋_GBK"/>
              </w:rPr>
            </w:pPr>
            <w:r>
              <w:rPr>
                <w:rFonts w:ascii="方正书宋_GBK" w:eastAsia="方正书宋_GBK" w:cs="方正书宋_GBK"/>
              </w:rPr>
              <w:t>314.00</w:t>
            </w:r>
          </w:p>
        </w:tc>
        <w:tc>
          <w:tcPr>
            <w:tcW w:w="974" w:type="dxa"/>
            <w:vAlign w:val="center"/>
          </w:tcPr>
          <w:p>
            <w:pPr>
              <w:spacing w:line="300" w:lineRule="exact"/>
              <w:jc w:val="left"/>
              <w:rPr>
                <w:rFonts w:ascii="方正书宋_GBK" w:eastAsia="方正书宋_GBK" w:cs="Arial"/>
              </w:rPr>
            </w:pPr>
            <w:r>
              <w:rPr>
                <w:rFonts w:hint="eastAsia" w:ascii="方正书宋_GBK" w:eastAsia="方正书宋_GBK" w:cs="方正书宋_GBK"/>
              </w:rPr>
              <w:t>服务</w:t>
            </w:r>
          </w:p>
        </w:tc>
        <w:tc>
          <w:tcPr>
            <w:tcW w:w="986" w:type="dxa"/>
            <w:vAlign w:val="center"/>
          </w:tcPr>
          <w:p>
            <w:pPr>
              <w:spacing w:line="300" w:lineRule="exact"/>
              <w:jc w:val="left"/>
              <w:rPr>
                <w:rFonts w:ascii="方正书宋_GBK" w:eastAsia="方正书宋_GBK" w:cs="方正书宋_GBK"/>
              </w:rPr>
            </w:pPr>
            <w:r>
              <w:rPr>
                <w:rFonts w:ascii="方正书宋_GBK" w:eastAsia="方正书宋_GBK" w:cs="方正书宋_GBK"/>
              </w:rPr>
              <w:t>C</w:t>
            </w:r>
          </w:p>
        </w:tc>
        <w:tc>
          <w:tcPr>
            <w:tcW w:w="760" w:type="dxa"/>
            <w:vAlign w:val="center"/>
          </w:tcPr>
          <w:p>
            <w:pPr>
              <w:spacing w:line="300" w:lineRule="exact"/>
              <w:jc w:val="left"/>
              <w:rPr>
                <w:rFonts w:ascii="方正书宋_GBK" w:eastAsia="方正书宋_GBK" w:cs="Arial"/>
              </w:rPr>
            </w:pPr>
            <w:r>
              <w:rPr>
                <w:rFonts w:hint="eastAsia" w:ascii="方正书宋_GBK" w:eastAsia="方正书宋_GBK" w:cs="方正书宋_GBK"/>
              </w:rPr>
              <w:t>批</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848" w:type="dxa"/>
            <w:vAlign w:val="center"/>
          </w:tcPr>
          <w:p>
            <w:pPr>
              <w:spacing w:line="300" w:lineRule="exact"/>
              <w:jc w:val="right"/>
              <w:rPr>
                <w:rFonts w:ascii="方正书宋_GBK" w:eastAsia="方正书宋_GBK" w:cs="方正书宋_GBK"/>
              </w:rPr>
            </w:pPr>
            <w:r>
              <w:rPr>
                <w:rFonts w:ascii="方正书宋_GBK" w:eastAsia="方正书宋_GBK" w:cs="方正书宋_GBK"/>
              </w:rPr>
              <w:t>280.00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280.00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280.00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280.00</w:t>
            </w:r>
          </w:p>
        </w:tc>
        <w:tc>
          <w:tcPr>
            <w:tcW w:w="961"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21"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left"/>
              <w:rPr>
                <w:rFonts w:ascii="方正书宋_GBK" w:eastAsia="方正书宋_GBK" w:cs="Arial"/>
              </w:rPr>
            </w:pPr>
            <w:r>
              <w:rPr>
                <w:rFonts w:hint="eastAsia" w:ascii="方正书宋_GBK" w:eastAsia="方正书宋_GBK" w:cs="方正书宋_GBK"/>
              </w:rPr>
              <w:t>市场监督管理</w:t>
            </w:r>
          </w:p>
        </w:tc>
        <w:tc>
          <w:tcPr>
            <w:tcW w:w="1099" w:type="dxa"/>
            <w:vAlign w:val="center"/>
          </w:tcPr>
          <w:p>
            <w:pPr>
              <w:spacing w:line="300" w:lineRule="exact"/>
              <w:jc w:val="right"/>
              <w:rPr>
                <w:rFonts w:ascii="方正书宋_GBK" w:eastAsia="方正书宋_GBK" w:cs="方正书宋_GBK"/>
              </w:rPr>
            </w:pPr>
            <w:r>
              <w:rPr>
                <w:rFonts w:ascii="方正书宋_GBK" w:eastAsia="方正书宋_GBK" w:cs="方正书宋_GBK"/>
              </w:rPr>
              <w:t>165.00</w:t>
            </w:r>
          </w:p>
        </w:tc>
        <w:tc>
          <w:tcPr>
            <w:tcW w:w="974" w:type="dxa"/>
            <w:vAlign w:val="center"/>
          </w:tcPr>
          <w:p>
            <w:pPr>
              <w:spacing w:line="300" w:lineRule="exact"/>
              <w:jc w:val="left"/>
              <w:rPr>
                <w:rFonts w:ascii="方正书宋_GBK" w:eastAsia="方正书宋_GBK" w:cs="Arial"/>
              </w:rPr>
            </w:pPr>
            <w:r>
              <w:rPr>
                <w:rFonts w:hint="eastAsia" w:ascii="方正书宋_GBK" w:eastAsia="方正书宋_GBK" w:cs="方正书宋_GBK"/>
              </w:rPr>
              <w:t>服务</w:t>
            </w:r>
          </w:p>
        </w:tc>
        <w:tc>
          <w:tcPr>
            <w:tcW w:w="986" w:type="dxa"/>
            <w:vAlign w:val="center"/>
          </w:tcPr>
          <w:p>
            <w:pPr>
              <w:spacing w:line="300" w:lineRule="exact"/>
              <w:jc w:val="left"/>
              <w:rPr>
                <w:rFonts w:ascii="方正书宋_GBK" w:eastAsia="方正书宋_GBK" w:cs="方正书宋_GBK"/>
              </w:rPr>
            </w:pPr>
            <w:r>
              <w:rPr>
                <w:rFonts w:ascii="方正书宋_GBK" w:eastAsia="方正书宋_GBK" w:cs="方正书宋_GBK"/>
              </w:rPr>
              <w:t>C</w:t>
            </w:r>
          </w:p>
        </w:tc>
        <w:tc>
          <w:tcPr>
            <w:tcW w:w="760" w:type="dxa"/>
            <w:vAlign w:val="center"/>
          </w:tcPr>
          <w:p>
            <w:pPr>
              <w:spacing w:line="300" w:lineRule="exact"/>
              <w:jc w:val="left"/>
              <w:rPr>
                <w:rFonts w:ascii="方正书宋_GBK" w:eastAsia="方正书宋_GBK" w:cs="Arial"/>
              </w:rPr>
            </w:pPr>
            <w:r>
              <w:rPr>
                <w:rFonts w:hint="eastAsia" w:ascii="方正书宋_GBK" w:eastAsia="方正书宋_GBK" w:cs="方正书宋_GBK"/>
              </w:rPr>
              <w:t>批</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848" w:type="dxa"/>
            <w:vAlign w:val="center"/>
          </w:tcPr>
          <w:p>
            <w:pPr>
              <w:spacing w:line="300" w:lineRule="exact"/>
              <w:jc w:val="right"/>
              <w:rPr>
                <w:rFonts w:ascii="方正书宋_GBK" w:eastAsia="方正书宋_GBK" w:cs="方正书宋_GBK"/>
              </w:rPr>
            </w:pPr>
            <w:r>
              <w:rPr>
                <w:rFonts w:ascii="方正书宋_GBK" w:eastAsia="方正书宋_GBK" w:cs="方正书宋_GBK"/>
              </w:rPr>
              <w:t>53.90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53.90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53.90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53.90</w:t>
            </w:r>
          </w:p>
        </w:tc>
        <w:tc>
          <w:tcPr>
            <w:tcW w:w="961"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21"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left"/>
              <w:rPr>
                <w:rFonts w:ascii="方正书宋_GBK" w:eastAsia="方正书宋_GBK" w:cs="Arial"/>
              </w:rPr>
            </w:pPr>
            <w:r>
              <w:rPr>
                <w:rFonts w:hint="eastAsia" w:ascii="方正书宋_GBK" w:eastAsia="方正书宋_GBK" w:cs="方正书宋_GBK"/>
              </w:rPr>
              <w:t>市场监管执法</w:t>
            </w:r>
          </w:p>
        </w:tc>
        <w:tc>
          <w:tcPr>
            <w:tcW w:w="1099" w:type="dxa"/>
            <w:vAlign w:val="center"/>
          </w:tcPr>
          <w:p>
            <w:pPr>
              <w:spacing w:line="300" w:lineRule="exact"/>
              <w:jc w:val="right"/>
              <w:rPr>
                <w:rFonts w:ascii="方正书宋_GBK" w:eastAsia="方正书宋_GBK" w:cs="方正书宋_GBK"/>
              </w:rPr>
            </w:pPr>
            <w:r>
              <w:rPr>
                <w:rFonts w:ascii="方正书宋_GBK" w:eastAsia="方正书宋_GBK" w:cs="方正书宋_GBK"/>
              </w:rPr>
              <w:t>129.23</w:t>
            </w:r>
          </w:p>
        </w:tc>
        <w:tc>
          <w:tcPr>
            <w:tcW w:w="974" w:type="dxa"/>
            <w:vAlign w:val="center"/>
          </w:tcPr>
          <w:p>
            <w:pPr>
              <w:spacing w:line="300" w:lineRule="exact"/>
              <w:jc w:val="left"/>
              <w:rPr>
                <w:rFonts w:ascii="方正书宋_GBK" w:eastAsia="方正书宋_GBK" w:cs="Arial"/>
              </w:rPr>
            </w:pPr>
            <w:r>
              <w:rPr>
                <w:rFonts w:hint="eastAsia" w:ascii="方正书宋_GBK" w:eastAsia="方正书宋_GBK" w:cs="方正书宋_GBK"/>
              </w:rPr>
              <w:t>服务</w:t>
            </w:r>
          </w:p>
        </w:tc>
        <w:tc>
          <w:tcPr>
            <w:tcW w:w="986" w:type="dxa"/>
            <w:vAlign w:val="center"/>
          </w:tcPr>
          <w:p>
            <w:pPr>
              <w:spacing w:line="300" w:lineRule="exact"/>
              <w:jc w:val="left"/>
              <w:rPr>
                <w:rFonts w:ascii="方正书宋_GBK" w:eastAsia="方正书宋_GBK" w:cs="方正书宋_GBK"/>
              </w:rPr>
            </w:pPr>
            <w:r>
              <w:rPr>
                <w:rFonts w:ascii="方正书宋_GBK" w:eastAsia="方正书宋_GBK" w:cs="方正书宋_GBK"/>
              </w:rPr>
              <w:t>C</w:t>
            </w:r>
          </w:p>
        </w:tc>
        <w:tc>
          <w:tcPr>
            <w:tcW w:w="760" w:type="dxa"/>
            <w:vAlign w:val="center"/>
          </w:tcPr>
          <w:p>
            <w:pPr>
              <w:spacing w:line="300" w:lineRule="exact"/>
              <w:jc w:val="left"/>
              <w:rPr>
                <w:rFonts w:ascii="方正书宋_GBK" w:eastAsia="方正书宋_GBK" w:cs="Arial"/>
              </w:rPr>
            </w:pPr>
            <w:r>
              <w:rPr>
                <w:rFonts w:hint="eastAsia" w:ascii="方正书宋_GBK" w:eastAsia="方正书宋_GBK" w:cs="方正书宋_GBK"/>
              </w:rPr>
              <w:t>批</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848" w:type="dxa"/>
            <w:vAlign w:val="center"/>
          </w:tcPr>
          <w:p>
            <w:pPr>
              <w:spacing w:line="300" w:lineRule="exact"/>
              <w:jc w:val="right"/>
              <w:rPr>
                <w:rFonts w:ascii="方正书宋_GBK" w:eastAsia="方正书宋_GBK" w:cs="方正书宋_GBK"/>
              </w:rPr>
            </w:pPr>
            <w:r>
              <w:rPr>
                <w:rFonts w:ascii="方正书宋_GBK" w:eastAsia="方正书宋_GBK" w:cs="方正书宋_GBK"/>
              </w:rPr>
              <w:t>37.72</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37.72</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37.72</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37.72</w:t>
            </w:r>
          </w:p>
        </w:tc>
        <w:tc>
          <w:tcPr>
            <w:tcW w:w="961"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21"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left"/>
              <w:rPr>
                <w:rFonts w:ascii="方正书宋_GBK" w:eastAsia="方正书宋_GBK" w:cs="Arial"/>
              </w:rPr>
            </w:pPr>
            <w:r>
              <w:rPr>
                <w:rFonts w:hint="eastAsia" w:ascii="方正书宋_GBK" w:eastAsia="方正书宋_GBK" w:cs="方正书宋_GBK"/>
              </w:rPr>
              <w:t>市场监管执法</w:t>
            </w:r>
          </w:p>
        </w:tc>
        <w:tc>
          <w:tcPr>
            <w:tcW w:w="1099" w:type="dxa"/>
            <w:vAlign w:val="center"/>
          </w:tcPr>
          <w:p>
            <w:pPr>
              <w:spacing w:line="300" w:lineRule="exact"/>
              <w:jc w:val="right"/>
              <w:rPr>
                <w:rFonts w:ascii="方正书宋_GBK" w:eastAsia="方正书宋_GBK" w:cs="方正书宋_GBK"/>
              </w:rPr>
            </w:pPr>
            <w:r>
              <w:rPr>
                <w:rFonts w:ascii="方正书宋_GBK" w:eastAsia="方正书宋_GBK" w:cs="方正书宋_GBK"/>
              </w:rPr>
              <w:t>129.23</w:t>
            </w:r>
          </w:p>
        </w:tc>
        <w:tc>
          <w:tcPr>
            <w:tcW w:w="974" w:type="dxa"/>
            <w:vAlign w:val="center"/>
          </w:tcPr>
          <w:p>
            <w:pPr>
              <w:spacing w:line="300" w:lineRule="exact"/>
              <w:jc w:val="left"/>
              <w:rPr>
                <w:rFonts w:ascii="方正书宋_GBK" w:eastAsia="方正书宋_GBK" w:cs="Arial"/>
              </w:rPr>
            </w:pPr>
            <w:r>
              <w:rPr>
                <w:rFonts w:hint="eastAsia" w:ascii="方正书宋_GBK" w:eastAsia="方正书宋_GBK" w:cs="方正书宋_GBK"/>
              </w:rPr>
              <w:t>服务</w:t>
            </w:r>
          </w:p>
        </w:tc>
        <w:tc>
          <w:tcPr>
            <w:tcW w:w="986" w:type="dxa"/>
            <w:vAlign w:val="center"/>
          </w:tcPr>
          <w:p>
            <w:pPr>
              <w:spacing w:line="300" w:lineRule="exact"/>
              <w:jc w:val="left"/>
              <w:rPr>
                <w:rFonts w:ascii="方正书宋_GBK" w:eastAsia="方正书宋_GBK" w:cs="方正书宋_GBK"/>
              </w:rPr>
            </w:pPr>
            <w:r>
              <w:rPr>
                <w:rFonts w:ascii="方正书宋_GBK" w:eastAsia="方正书宋_GBK" w:cs="方正书宋_GBK"/>
              </w:rPr>
              <w:t>C</w:t>
            </w:r>
          </w:p>
        </w:tc>
        <w:tc>
          <w:tcPr>
            <w:tcW w:w="760" w:type="dxa"/>
            <w:vAlign w:val="center"/>
          </w:tcPr>
          <w:p>
            <w:pPr>
              <w:spacing w:line="300" w:lineRule="exact"/>
              <w:jc w:val="left"/>
              <w:rPr>
                <w:rFonts w:ascii="方正书宋_GBK" w:eastAsia="方正书宋_GBK" w:cs="Arial"/>
              </w:rPr>
            </w:pPr>
            <w:r>
              <w:rPr>
                <w:rFonts w:hint="eastAsia" w:ascii="方正书宋_GBK" w:eastAsia="方正书宋_GBK" w:cs="方正书宋_GBK"/>
              </w:rPr>
              <w:t>批</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848" w:type="dxa"/>
            <w:vAlign w:val="center"/>
          </w:tcPr>
          <w:p>
            <w:pPr>
              <w:spacing w:line="300" w:lineRule="exact"/>
              <w:jc w:val="right"/>
              <w:rPr>
                <w:rFonts w:ascii="方正书宋_GBK" w:eastAsia="方正书宋_GBK" w:cs="方正书宋_GBK"/>
              </w:rPr>
            </w:pPr>
            <w:r>
              <w:rPr>
                <w:rFonts w:ascii="方正书宋_GBK" w:eastAsia="方正书宋_GBK" w:cs="方正书宋_GBK"/>
              </w:rPr>
              <w:t>44.51</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44.51</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44.51</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44.51</w:t>
            </w:r>
          </w:p>
        </w:tc>
        <w:tc>
          <w:tcPr>
            <w:tcW w:w="961"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21"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left"/>
              <w:rPr>
                <w:rFonts w:ascii="方正书宋_GBK" w:eastAsia="方正书宋_GBK" w:cs="Arial"/>
              </w:rPr>
            </w:pPr>
            <w:r>
              <w:rPr>
                <w:rFonts w:hint="eastAsia" w:ascii="方正书宋_GBK" w:eastAsia="方正书宋_GBK" w:cs="方正书宋_GBK"/>
              </w:rPr>
              <w:t>市场监督管理</w:t>
            </w:r>
          </w:p>
        </w:tc>
        <w:tc>
          <w:tcPr>
            <w:tcW w:w="1099" w:type="dxa"/>
            <w:vAlign w:val="center"/>
          </w:tcPr>
          <w:p>
            <w:pPr>
              <w:spacing w:line="300" w:lineRule="exact"/>
              <w:jc w:val="right"/>
              <w:rPr>
                <w:rFonts w:ascii="方正书宋_GBK" w:eastAsia="方正书宋_GBK" w:cs="方正书宋_GBK"/>
              </w:rPr>
            </w:pPr>
            <w:r>
              <w:rPr>
                <w:rFonts w:ascii="方正书宋_GBK" w:eastAsia="方正书宋_GBK" w:cs="方正书宋_GBK"/>
              </w:rPr>
              <w:t>165.00</w:t>
            </w:r>
          </w:p>
        </w:tc>
        <w:tc>
          <w:tcPr>
            <w:tcW w:w="974" w:type="dxa"/>
            <w:vAlign w:val="center"/>
          </w:tcPr>
          <w:p>
            <w:pPr>
              <w:spacing w:line="300" w:lineRule="exact"/>
              <w:jc w:val="left"/>
              <w:rPr>
                <w:rFonts w:ascii="方正书宋_GBK" w:eastAsia="方正书宋_GBK" w:cs="Arial"/>
              </w:rPr>
            </w:pPr>
            <w:r>
              <w:rPr>
                <w:rFonts w:hint="eastAsia" w:ascii="方正书宋_GBK" w:eastAsia="方正书宋_GBK" w:cs="方正书宋_GBK"/>
              </w:rPr>
              <w:t>办公消耗用品及类似物品</w:t>
            </w:r>
          </w:p>
        </w:tc>
        <w:tc>
          <w:tcPr>
            <w:tcW w:w="986" w:type="dxa"/>
            <w:vAlign w:val="center"/>
          </w:tcPr>
          <w:p>
            <w:pPr>
              <w:spacing w:line="300" w:lineRule="exact"/>
              <w:jc w:val="left"/>
              <w:rPr>
                <w:rFonts w:ascii="方正书宋_GBK" w:eastAsia="方正书宋_GBK" w:cs="方正书宋_GBK"/>
              </w:rPr>
            </w:pPr>
            <w:r>
              <w:rPr>
                <w:rFonts w:ascii="方正书宋_GBK" w:eastAsia="方正书宋_GBK" w:cs="方正书宋_GBK"/>
              </w:rPr>
              <w:t>A09</w:t>
            </w:r>
          </w:p>
        </w:tc>
        <w:tc>
          <w:tcPr>
            <w:tcW w:w="760" w:type="dxa"/>
            <w:vAlign w:val="center"/>
          </w:tcPr>
          <w:p>
            <w:pPr>
              <w:spacing w:line="300" w:lineRule="exact"/>
              <w:jc w:val="left"/>
              <w:rPr>
                <w:rFonts w:ascii="方正书宋_GBK" w:eastAsia="方正书宋_GBK" w:cs="Arial"/>
              </w:rPr>
            </w:pPr>
            <w:r>
              <w:rPr>
                <w:rFonts w:hint="eastAsia" w:ascii="方正书宋_GBK" w:eastAsia="方正书宋_GBK" w:cs="方正书宋_GBK"/>
              </w:rPr>
              <w:t>批</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848" w:type="dxa"/>
            <w:vAlign w:val="center"/>
          </w:tcPr>
          <w:p>
            <w:pPr>
              <w:spacing w:line="300" w:lineRule="exact"/>
              <w:jc w:val="right"/>
              <w:rPr>
                <w:rFonts w:ascii="方正书宋_GBK" w:eastAsia="方正书宋_GBK" w:cs="方正书宋_GBK"/>
              </w:rPr>
            </w:pPr>
            <w:r>
              <w:rPr>
                <w:rFonts w:ascii="方正书宋_GBK" w:eastAsia="方正书宋_GBK" w:cs="方正书宋_GBK"/>
              </w:rPr>
              <w:t>16.50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16.50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16.50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16.50</w:t>
            </w:r>
          </w:p>
        </w:tc>
        <w:tc>
          <w:tcPr>
            <w:tcW w:w="961"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21" w:type="dxa"/>
            <w:vAlign w:val="center"/>
          </w:tcPr>
          <w:p>
            <w:pPr>
              <w:spacing w:line="300" w:lineRule="exact"/>
              <w:jc w:val="right"/>
              <w:rPr>
                <w:rFonts w:ascii="方正书宋_GBK" w:eastAsia="方正书宋_GBK" w:cs="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48" w:type="dxa"/>
            <w:vAlign w:val="center"/>
          </w:tcPr>
          <w:p>
            <w:pPr>
              <w:spacing w:line="300" w:lineRule="exact"/>
              <w:jc w:val="left"/>
              <w:rPr>
                <w:rFonts w:ascii="方正书宋_GBK" w:eastAsia="方正书宋_GBK" w:cs="Arial"/>
              </w:rPr>
            </w:pPr>
            <w:r>
              <w:rPr>
                <w:rFonts w:hint="eastAsia" w:ascii="方正书宋_GBK" w:eastAsia="方正书宋_GBK" w:cs="方正书宋_GBK"/>
              </w:rPr>
              <w:t>市场监管执法</w:t>
            </w:r>
          </w:p>
        </w:tc>
        <w:tc>
          <w:tcPr>
            <w:tcW w:w="1099" w:type="dxa"/>
            <w:vAlign w:val="center"/>
          </w:tcPr>
          <w:p>
            <w:pPr>
              <w:spacing w:line="300" w:lineRule="exact"/>
              <w:jc w:val="right"/>
              <w:rPr>
                <w:rFonts w:ascii="方正书宋_GBK" w:eastAsia="方正书宋_GBK" w:cs="方正书宋_GBK"/>
              </w:rPr>
            </w:pPr>
            <w:r>
              <w:rPr>
                <w:rFonts w:ascii="方正书宋_GBK" w:eastAsia="方正书宋_GBK" w:cs="方正书宋_GBK"/>
              </w:rPr>
              <w:t>129.23</w:t>
            </w:r>
          </w:p>
        </w:tc>
        <w:tc>
          <w:tcPr>
            <w:tcW w:w="974" w:type="dxa"/>
            <w:vAlign w:val="center"/>
          </w:tcPr>
          <w:p>
            <w:pPr>
              <w:spacing w:line="300" w:lineRule="exact"/>
              <w:jc w:val="left"/>
              <w:rPr>
                <w:rFonts w:ascii="方正书宋_GBK" w:eastAsia="方正书宋_GBK" w:cs="Arial"/>
              </w:rPr>
            </w:pPr>
            <w:r>
              <w:rPr>
                <w:rFonts w:hint="eastAsia" w:ascii="方正书宋_GBK" w:eastAsia="方正书宋_GBK" w:cs="方正书宋_GBK"/>
              </w:rPr>
              <w:t>办公消耗用品及类似物品</w:t>
            </w:r>
          </w:p>
        </w:tc>
        <w:tc>
          <w:tcPr>
            <w:tcW w:w="986" w:type="dxa"/>
            <w:vAlign w:val="center"/>
          </w:tcPr>
          <w:p>
            <w:pPr>
              <w:spacing w:line="300" w:lineRule="exact"/>
              <w:jc w:val="left"/>
              <w:rPr>
                <w:rFonts w:ascii="方正书宋_GBK" w:eastAsia="方正书宋_GBK" w:cs="方正书宋_GBK"/>
              </w:rPr>
            </w:pPr>
            <w:r>
              <w:rPr>
                <w:rFonts w:ascii="方正书宋_GBK" w:eastAsia="方正书宋_GBK" w:cs="方正书宋_GBK"/>
              </w:rPr>
              <w:t>A09</w:t>
            </w:r>
          </w:p>
        </w:tc>
        <w:tc>
          <w:tcPr>
            <w:tcW w:w="760" w:type="dxa"/>
            <w:vAlign w:val="center"/>
          </w:tcPr>
          <w:p>
            <w:pPr>
              <w:spacing w:line="300" w:lineRule="exact"/>
              <w:jc w:val="left"/>
              <w:rPr>
                <w:rFonts w:ascii="方正书宋_GBK" w:eastAsia="方正书宋_GBK" w:cs="Arial"/>
              </w:rPr>
            </w:pPr>
            <w:r>
              <w:rPr>
                <w:rFonts w:hint="eastAsia" w:ascii="方正书宋_GBK" w:eastAsia="方正书宋_GBK" w:cs="方正书宋_GBK"/>
              </w:rPr>
              <w:t>批</w:t>
            </w:r>
          </w:p>
        </w:tc>
        <w:tc>
          <w:tcPr>
            <w:tcW w:w="760" w:type="dxa"/>
            <w:vAlign w:val="center"/>
          </w:tcPr>
          <w:p>
            <w:pPr>
              <w:spacing w:line="300" w:lineRule="exact"/>
              <w:jc w:val="right"/>
              <w:rPr>
                <w:rFonts w:ascii="方正书宋_GBK" w:eastAsia="方正书宋_GBK" w:cs="方正书宋_GBK"/>
              </w:rPr>
            </w:pPr>
            <w:r>
              <w:rPr>
                <w:rFonts w:ascii="方正书宋_GBK" w:eastAsia="方正书宋_GBK" w:cs="方正书宋_GBK"/>
              </w:rPr>
              <w:t>1.00</w:t>
            </w:r>
          </w:p>
        </w:tc>
        <w:tc>
          <w:tcPr>
            <w:tcW w:w="848" w:type="dxa"/>
            <w:vAlign w:val="center"/>
          </w:tcPr>
          <w:p>
            <w:pPr>
              <w:spacing w:line="300" w:lineRule="exact"/>
              <w:jc w:val="right"/>
              <w:rPr>
                <w:rFonts w:ascii="方正书宋_GBK" w:eastAsia="方正书宋_GBK" w:cs="方正书宋_GBK"/>
              </w:rPr>
            </w:pPr>
            <w:r>
              <w:rPr>
                <w:rFonts w:ascii="方正书宋_GBK" w:eastAsia="方正书宋_GBK" w:cs="方正书宋_GBK"/>
              </w:rPr>
              <w:t>19.00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19.00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19.00</w:t>
            </w:r>
          </w:p>
        </w:tc>
        <w:tc>
          <w:tcPr>
            <w:tcW w:w="961" w:type="dxa"/>
            <w:vAlign w:val="center"/>
          </w:tcPr>
          <w:p>
            <w:pPr>
              <w:spacing w:line="300" w:lineRule="exact"/>
              <w:jc w:val="right"/>
              <w:rPr>
                <w:rFonts w:ascii="方正书宋_GBK" w:eastAsia="方正书宋_GBK" w:cs="方正书宋_GBK"/>
              </w:rPr>
            </w:pPr>
            <w:r>
              <w:rPr>
                <w:rFonts w:ascii="方正书宋_GBK" w:eastAsia="方正书宋_GBK" w:cs="方正书宋_GBK"/>
              </w:rPr>
              <w:t>19.00</w:t>
            </w:r>
          </w:p>
        </w:tc>
        <w:tc>
          <w:tcPr>
            <w:tcW w:w="961"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64" w:type="dxa"/>
            <w:vAlign w:val="center"/>
          </w:tcPr>
          <w:p>
            <w:pPr>
              <w:spacing w:line="300" w:lineRule="exact"/>
              <w:jc w:val="right"/>
              <w:rPr>
                <w:rFonts w:ascii="方正书宋_GBK" w:eastAsia="方正书宋_GBK" w:cs="方正书宋_GBK"/>
              </w:rPr>
            </w:pPr>
          </w:p>
        </w:tc>
        <w:tc>
          <w:tcPr>
            <w:tcW w:w="921" w:type="dxa"/>
            <w:vAlign w:val="center"/>
          </w:tcPr>
          <w:p>
            <w:pPr>
              <w:spacing w:line="300" w:lineRule="exact"/>
              <w:jc w:val="right"/>
              <w:rPr>
                <w:rFonts w:ascii="方正书宋_GBK" w:eastAsia="方正书宋_GBK" w:cs="方正书宋_GBK"/>
              </w:rPr>
            </w:pPr>
          </w:p>
        </w:tc>
      </w:tr>
    </w:tbl>
    <w:p>
      <w:pPr>
        <w:numPr>
          <w:ilvl w:val="0"/>
          <w:numId w:val="2"/>
        </w:numPr>
        <w:autoSpaceDE w:val="0"/>
        <w:autoSpaceDN w:val="0"/>
        <w:adjustRightInd w:val="0"/>
        <w:spacing w:beforeLines="50"/>
        <w:ind w:firstLine="640" w:firstLineChars="200"/>
        <w:jc w:val="left"/>
        <w:rPr>
          <w:rFonts w:ascii="黑体" w:hAnsi="黑体" w:eastAsia="黑体" w:cs="Arial"/>
          <w:sz w:val="32"/>
          <w:szCs w:val="32"/>
        </w:rPr>
      </w:pPr>
      <w:r>
        <w:rPr>
          <w:rFonts w:hint="eastAsia" w:ascii="黑体" w:hAnsi="黑体" w:eastAsia="黑体" w:cs="黑体"/>
          <w:sz w:val="32"/>
          <w:szCs w:val="32"/>
        </w:rPr>
        <w:t>国有资产信息</w:t>
      </w:r>
    </w:p>
    <w:p>
      <w:pPr>
        <w:spacing w:line="560" w:lineRule="exact"/>
        <w:rPr>
          <w:rFonts w:ascii="仿宋" w:hAnsi="仿宋" w:eastAsia="仿宋" w:cs="Arial"/>
          <w:sz w:val="32"/>
          <w:szCs w:val="32"/>
        </w:rPr>
      </w:pPr>
      <w:r>
        <w:rPr>
          <w:rFonts w:ascii="黑体" w:hAnsi="黑体" w:eastAsia="黑体" w:cs="黑体"/>
          <w:sz w:val="32"/>
          <w:szCs w:val="32"/>
        </w:rPr>
        <w:t xml:space="preserve">    </w:t>
      </w:r>
      <w:r>
        <w:rPr>
          <w:rFonts w:hint="eastAsia" w:ascii="仿宋_GB2312" w:hAnsi="仿宋_GB2312" w:eastAsia="仿宋_GB2312" w:cs="仿宋_GB2312"/>
          <w:sz w:val="32"/>
          <w:szCs w:val="32"/>
        </w:rPr>
        <w:t>新华区市场监督管理局上年末固定资产金额为</w:t>
      </w:r>
      <w:r>
        <w:rPr>
          <w:rFonts w:ascii="仿宋_GB2312" w:hAnsi="仿宋_GB2312" w:eastAsia="仿宋_GB2312" w:cs="仿宋_GB2312"/>
          <w:sz w:val="32"/>
          <w:szCs w:val="32"/>
        </w:rPr>
        <w:t>3457.88</w:t>
      </w:r>
      <w:r>
        <w:rPr>
          <w:rFonts w:hint="eastAsia" w:ascii="仿宋_GB2312" w:hAnsi="仿宋_GB2312" w:eastAsia="仿宋_GB2312" w:cs="仿宋_GB2312"/>
          <w:sz w:val="32"/>
          <w:szCs w:val="32"/>
        </w:rPr>
        <w:t>万元（详见下表），本年度拟购置固定资产总额为</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万元，为涉秘计算机设备（笔记本电脑、打印机）</w:t>
      </w:r>
      <w:r>
        <w:rPr>
          <w:rFonts w:ascii="仿宋_GB2312" w:hAnsi="仿宋_GB2312" w:eastAsia="仿宋_GB2312" w:cs="仿宋_GB2312"/>
          <w:sz w:val="32"/>
          <w:szCs w:val="32"/>
        </w:rPr>
        <w:t>2</w:t>
      </w:r>
      <w:r>
        <w:rPr>
          <w:rFonts w:hint="eastAsia" w:ascii="仿宋_GB2312" w:hAnsi="仿宋_GB2312" w:eastAsia="仿宋_GB2312" w:cs="仿宋_GB2312"/>
          <w:sz w:val="32"/>
          <w:szCs w:val="32"/>
        </w:rPr>
        <w:t>套，已列入政府采购预算，详见政府采购预算表。</w:t>
      </w:r>
    </w:p>
    <w:tbl>
      <w:tblPr>
        <w:tblStyle w:val="8"/>
        <w:tblW w:w="13482" w:type="dxa"/>
        <w:jc w:val="center"/>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jc w:val="center"/>
        </w:trPr>
        <w:tc>
          <w:tcPr>
            <w:tcW w:w="13482" w:type="dxa"/>
            <w:gridSpan w:val="3"/>
            <w:tcBorders>
              <w:top w:val="nil"/>
              <w:left w:val="nil"/>
              <w:bottom w:val="nil"/>
              <w:right w:val="nil"/>
            </w:tcBorders>
            <w:vAlign w:val="center"/>
          </w:tcPr>
          <w:p>
            <w:pPr>
              <w:widowControl/>
              <w:jc w:val="center"/>
              <w:rPr>
                <w:rFonts w:ascii="宋体" w:cs="Arial"/>
                <w:b/>
                <w:bCs/>
                <w:kern w:val="0"/>
                <w:sz w:val="32"/>
                <w:szCs w:val="32"/>
              </w:rPr>
            </w:pPr>
            <w:r>
              <w:rPr>
                <w:rFonts w:hint="eastAsia" w:ascii="宋体" w:hAnsi="宋体" w:cs="宋体"/>
                <w:b/>
                <w:bCs/>
                <w:kern w:val="0"/>
                <w:sz w:val="32"/>
                <w:szCs w:val="32"/>
              </w:rPr>
              <w:t>部门固定资产占用情况表</w:t>
            </w:r>
          </w:p>
        </w:tc>
      </w:tr>
      <w:tr>
        <w:tblPrEx>
          <w:tblCellMar>
            <w:top w:w="0" w:type="dxa"/>
            <w:left w:w="108" w:type="dxa"/>
            <w:bottom w:w="0" w:type="dxa"/>
            <w:right w:w="108" w:type="dxa"/>
          </w:tblCellMar>
        </w:tblPrEx>
        <w:trPr>
          <w:trHeight w:val="510" w:hRule="atLeast"/>
          <w:jc w:val="center"/>
        </w:trPr>
        <w:tc>
          <w:tcPr>
            <w:tcW w:w="8379" w:type="dxa"/>
            <w:gridSpan w:val="2"/>
            <w:tcBorders>
              <w:top w:val="nil"/>
              <w:left w:val="nil"/>
              <w:bottom w:val="nil"/>
              <w:right w:val="nil"/>
            </w:tcBorders>
            <w:vAlign w:val="center"/>
          </w:tcPr>
          <w:p>
            <w:pPr>
              <w:widowControl/>
              <w:jc w:val="left"/>
              <w:rPr>
                <w:rFonts w:ascii="宋体" w:cs="Arial"/>
                <w:kern w:val="0"/>
                <w:sz w:val="22"/>
                <w:szCs w:val="22"/>
              </w:rPr>
            </w:pPr>
            <w:r>
              <w:rPr>
                <w:rFonts w:hint="eastAsia" w:ascii="宋体" w:hAnsi="宋体" w:cs="宋体"/>
                <w:kern w:val="0"/>
                <w:sz w:val="22"/>
                <w:szCs w:val="22"/>
              </w:rPr>
              <w:t>编制部门：石家庄市新华区市场监督管理局</w:t>
            </w:r>
          </w:p>
        </w:tc>
        <w:tc>
          <w:tcPr>
            <w:tcW w:w="5103" w:type="dxa"/>
            <w:tcBorders>
              <w:top w:val="nil"/>
              <w:left w:val="nil"/>
              <w:bottom w:val="nil"/>
              <w:right w:val="nil"/>
            </w:tcBorders>
            <w:vAlign w:val="center"/>
          </w:tcPr>
          <w:p>
            <w:pPr>
              <w:widowControl/>
              <w:jc w:val="left"/>
              <w:rPr>
                <w:rFonts w:ascii="宋体" w:cs="Arial"/>
                <w:kern w:val="0"/>
                <w:sz w:val="22"/>
                <w:szCs w:val="22"/>
              </w:rPr>
            </w:pPr>
            <w:r>
              <w:rPr>
                <w:rFonts w:hint="eastAsia" w:ascii="宋体" w:hAnsi="宋体" w:cs="宋体"/>
                <w:kern w:val="0"/>
                <w:sz w:val="22"/>
                <w:szCs w:val="22"/>
              </w:rPr>
              <w:t>截止时间：</w:t>
            </w:r>
            <w:r>
              <w:rPr>
                <w:rFonts w:ascii="宋体" w:hAnsi="宋体" w:cs="宋体"/>
                <w:kern w:val="0"/>
                <w:sz w:val="22"/>
                <w:szCs w:val="22"/>
              </w:rPr>
              <w:t>2018</w:t>
            </w:r>
            <w:r>
              <w:rPr>
                <w:rFonts w:hint="eastAsia" w:ascii="宋体" w:hAnsi="宋体" w:cs="宋体"/>
                <w:kern w:val="0"/>
                <w:sz w:val="22"/>
                <w:szCs w:val="22"/>
              </w:rPr>
              <w:t>年</w:t>
            </w:r>
            <w:r>
              <w:rPr>
                <w:rFonts w:ascii="宋体" w:hAnsi="宋体" w:cs="宋体"/>
                <w:kern w:val="0"/>
                <w:sz w:val="22"/>
                <w:szCs w:val="22"/>
              </w:rPr>
              <w:t>12</w:t>
            </w:r>
            <w:r>
              <w:rPr>
                <w:rFonts w:hint="eastAsia" w:ascii="宋体" w:hAnsi="宋体" w:cs="宋体"/>
                <w:kern w:val="0"/>
                <w:sz w:val="22"/>
                <w:szCs w:val="22"/>
              </w:rPr>
              <w:t>月</w:t>
            </w:r>
            <w:r>
              <w:rPr>
                <w:rFonts w:ascii="宋体" w:hAnsi="宋体" w:cs="宋体"/>
                <w:kern w:val="0"/>
                <w:sz w:val="22"/>
                <w:szCs w:val="22"/>
              </w:rPr>
              <w:t>31</w:t>
            </w:r>
            <w:r>
              <w:rPr>
                <w:rFonts w:hint="eastAsia" w:ascii="宋体" w:hAnsi="宋体" w:cs="宋体"/>
                <w:kern w:val="0"/>
                <w:sz w:val="22"/>
                <w:szCs w:val="22"/>
              </w:rPr>
              <w:t>日</w:t>
            </w:r>
            <w:r>
              <w:rPr>
                <w:rFonts w:ascii="宋体" w:hAnsi="宋体" w:cs="宋体"/>
                <w:kern w:val="0"/>
                <w:sz w:val="22"/>
                <w:szCs w:val="22"/>
              </w:rPr>
              <w:t xml:space="preserve">  </w:t>
            </w:r>
          </w:p>
        </w:tc>
      </w:tr>
      <w:tr>
        <w:tblPrEx>
          <w:tblCellMar>
            <w:top w:w="0" w:type="dxa"/>
            <w:left w:w="108" w:type="dxa"/>
            <w:bottom w:w="0" w:type="dxa"/>
            <w:right w:w="108" w:type="dxa"/>
          </w:tblCellMar>
        </w:tblPrEx>
        <w:trPr>
          <w:trHeight w:val="567" w:hRule="exact"/>
          <w:jc w:val="center"/>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Arial"/>
                <w:b/>
                <w:bCs/>
                <w:kern w:val="0"/>
                <w:sz w:val="22"/>
                <w:szCs w:val="22"/>
              </w:rPr>
            </w:pPr>
            <w:r>
              <w:rPr>
                <w:rFonts w:hint="eastAsia" w:ascii="宋体" w:hAnsi="宋体" w:cs="宋体"/>
                <w:b/>
                <w:bCs/>
                <w:kern w:val="0"/>
                <w:sz w:val="22"/>
                <w:szCs w:val="22"/>
              </w:rPr>
              <w:t>项</w:t>
            </w:r>
            <w:r>
              <w:rPr>
                <w:rFonts w:ascii="宋体" w:hAnsi="宋体" w:cs="宋体"/>
                <w:b/>
                <w:bCs/>
                <w:kern w:val="0"/>
                <w:sz w:val="22"/>
                <w:szCs w:val="22"/>
              </w:rPr>
              <w:t xml:space="preserve">   </w:t>
            </w:r>
            <w:r>
              <w:rPr>
                <w:rFonts w:hint="eastAsia" w:ascii="宋体" w:hAnsi="宋体" w:cs="宋体"/>
                <w:b/>
                <w:bCs/>
                <w:kern w:val="0"/>
                <w:sz w:val="22"/>
                <w:szCs w:val="22"/>
              </w:rPr>
              <w:t>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Arial"/>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Arial"/>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567" w:hRule="exact"/>
          <w:jc w:val="center"/>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宋体" w:cs="Arial"/>
                <w:kern w:val="0"/>
                <w:sz w:val="22"/>
                <w:szCs w:val="22"/>
              </w:rPr>
            </w:pPr>
            <w:r>
              <w:rPr>
                <w:rFonts w:hint="eastAsia" w:ascii="宋体" w:hAnsi="宋体" w:cs="宋体"/>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szCs w:val="22"/>
              </w:rPr>
            </w:pPr>
            <w:r>
              <w:rPr>
                <w:rFonts w:ascii="Times New Roman" w:hAnsi="Times New Roman"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cs="Times New Roman"/>
                <w:kern w:val="0"/>
                <w:sz w:val="22"/>
                <w:szCs w:val="22"/>
              </w:rPr>
            </w:pPr>
            <w:r>
              <w:rPr>
                <w:rFonts w:ascii="Times New Roman" w:hAnsi="Times New Roman" w:cs="Times New Roman"/>
                <w:kern w:val="0"/>
                <w:sz w:val="22"/>
                <w:szCs w:val="22"/>
              </w:rPr>
              <w:t>3457.88</w:t>
            </w:r>
          </w:p>
        </w:tc>
      </w:tr>
      <w:tr>
        <w:tblPrEx>
          <w:tblCellMar>
            <w:top w:w="0" w:type="dxa"/>
            <w:left w:w="108" w:type="dxa"/>
            <w:bottom w:w="0" w:type="dxa"/>
            <w:right w:w="108" w:type="dxa"/>
          </w:tblCellMar>
        </w:tblPrEx>
        <w:trPr>
          <w:trHeight w:val="567" w:hRule="exact"/>
          <w:jc w:val="center"/>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Arial"/>
                <w:kern w:val="0"/>
                <w:sz w:val="22"/>
                <w:szCs w:val="22"/>
              </w:rPr>
            </w:pPr>
            <w:r>
              <w:rPr>
                <w:rFonts w:ascii="宋体" w:hAnsi="宋体" w:cs="宋体"/>
                <w:kern w:val="0"/>
                <w:sz w:val="22"/>
                <w:szCs w:val="22"/>
              </w:rPr>
              <w:t>1</w:t>
            </w:r>
            <w:r>
              <w:rPr>
                <w:rFonts w:hint="eastAsia" w:ascii="宋体" w:hAnsi="宋体" w:cs="宋体"/>
                <w:kern w:val="0"/>
                <w:sz w:val="22"/>
                <w:szCs w:val="22"/>
              </w:rPr>
              <w:t>、房屋（平方米）</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szCs w:val="22"/>
              </w:rPr>
            </w:pPr>
            <w:r>
              <w:rPr>
                <w:rFonts w:ascii="方正书宋_GBK" w:eastAsia="方正书宋_GBK" w:cs="方正书宋_GBK"/>
              </w:rPr>
              <w:t>20538.74</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szCs w:val="22"/>
              </w:rPr>
            </w:pPr>
            <w:r>
              <w:rPr>
                <w:rFonts w:ascii="方正书宋_GBK" w:eastAsia="方正书宋_GBK" w:cs="方正书宋_GBK"/>
              </w:rPr>
              <w:t>2318.83</w:t>
            </w:r>
          </w:p>
        </w:tc>
      </w:tr>
      <w:tr>
        <w:tblPrEx>
          <w:tblCellMar>
            <w:top w:w="0" w:type="dxa"/>
            <w:left w:w="108" w:type="dxa"/>
            <w:bottom w:w="0" w:type="dxa"/>
            <w:right w:w="108" w:type="dxa"/>
          </w:tblCellMar>
        </w:tblPrEx>
        <w:trPr>
          <w:trHeight w:val="567" w:hRule="exact"/>
          <w:jc w:val="center"/>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Arial"/>
                <w:kern w:val="0"/>
                <w:sz w:val="22"/>
                <w:szCs w:val="22"/>
              </w:rPr>
            </w:pPr>
            <w:r>
              <w:rPr>
                <w:rFonts w:ascii="宋体" w:hAnsi="宋体" w:cs="宋体"/>
                <w:kern w:val="0"/>
                <w:sz w:val="22"/>
                <w:szCs w:val="22"/>
              </w:rPr>
              <w:t xml:space="preserve">   </w:t>
            </w:r>
            <w:r>
              <w:rPr>
                <w:rFonts w:hint="eastAsia" w:ascii="宋体" w:hAnsi="宋体" w:cs="宋体"/>
                <w:kern w:val="0"/>
                <w:sz w:val="22"/>
                <w:szCs w:val="22"/>
              </w:rPr>
              <w:t>其中：办公用房（平方米）</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szCs w:val="22"/>
              </w:rPr>
            </w:pPr>
            <w:r>
              <w:rPr>
                <w:rFonts w:ascii="方正书宋_GBK" w:eastAsia="方正书宋_GBK" w:cs="方正书宋_GBK"/>
              </w:rPr>
              <w:t>5442.74</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szCs w:val="22"/>
              </w:rPr>
            </w:pPr>
            <w:r>
              <w:rPr>
                <w:rFonts w:ascii="方正书宋_GBK" w:eastAsia="方正书宋_GBK" w:cs="方正书宋_GBK"/>
              </w:rPr>
              <w:t>872.44</w:t>
            </w:r>
          </w:p>
        </w:tc>
      </w:tr>
      <w:tr>
        <w:tblPrEx>
          <w:tblCellMar>
            <w:top w:w="0" w:type="dxa"/>
            <w:left w:w="108" w:type="dxa"/>
            <w:bottom w:w="0" w:type="dxa"/>
            <w:right w:w="108" w:type="dxa"/>
          </w:tblCellMar>
        </w:tblPrEx>
        <w:trPr>
          <w:trHeight w:val="567" w:hRule="exact"/>
          <w:jc w:val="center"/>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Arial"/>
                <w:kern w:val="0"/>
                <w:sz w:val="22"/>
                <w:szCs w:val="22"/>
              </w:rPr>
            </w:pPr>
            <w:r>
              <w:rPr>
                <w:rFonts w:ascii="宋体" w:hAnsi="宋体" w:cs="宋体"/>
                <w:kern w:val="0"/>
                <w:sz w:val="22"/>
                <w:szCs w:val="22"/>
              </w:rPr>
              <w:t>2</w:t>
            </w:r>
            <w:r>
              <w:rPr>
                <w:rFonts w:hint="eastAsia" w:ascii="宋体" w:hAnsi="宋体" w:cs="宋体"/>
                <w:kern w:val="0"/>
                <w:sz w:val="22"/>
                <w:szCs w:val="22"/>
              </w:rPr>
              <w:t>、车辆（台、辆）</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eastAsia="方正书宋_GBK" w:cs="Arial"/>
                <w:sz w:val="22"/>
                <w:szCs w:val="22"/>
              </w:rPr>
            </w:pPr>
            <w:r>
              <w:rPr>
                <w:rFonts w:ascii="方正书宋_GBK" w:eastAsia="方正书宋_GBK" w:cs="方正书宋_GBK"/>
              </w:rPr>
              <w:t>34</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szCs w:val="22"/>
              </w:rPr>
            </w:pPr>
            <w:r>
              <w:rPr>
                <w:rFonts w:ascii="方正书宋_GBK" w:eastAsia="方正书宋_GBK" w:cs="方正书宋_GBK"/>
              </w:rPr>
              <w:t>273.97</w:t>
            </w:r>
          </w:p>
        </w:tc>
      </w:tr>
      <w:tr>
        <w:tblPrEx>
          <w:tblCellMar>
            <w:top w:w="0" w:type="dxa"/>
            <w:left w:w="108" w:type="dxa"/>
            <w:bottom w:w="0" w:type="dxa"/>
            <w:right w:w="108" w:type="dxa"/>
          </w:tblCellMar>
        </w:tblPrEx>
        <w:trPr>
          <w:trHeight w:val="567" w:hRule="exact"/>
          <w:jc w:val="center"/>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Arial"/>
                <w:kern w:val="0"/>
                <w:sz w:val="22"/>
                <w:szCs w:val="22"/>
              </w:rPr>
            </w:pPr>
            <w:r>
              <w:rPr>
                <w:rFonts w:ascii="宋体" w:hAnsi="宋体" w:cs="宋体"/>
                <w:kern w:val="0"/>
                <w:sz w:val="22"/>
                <w:szCs w:val="22"/>
              </w:rPr>
              <w:t>3</w:t>
            </w:r>
            <w:r>
              <w:rPr>
                <w:rFonts w:hint="eastAsia" w:ascii="宋体" w:hAnsi="宋体" w:cs="宋体"/>
                <w:kern w:val="0"/>
                <w:sz w:val="22"/>
                <w:szCs w:val="22"/>
              </w:rPr>
              <w:t>、单价在</w:t>
            </w:r>
            <w:r>
              <w:rPr>
                <w:rFonts w:ascii="宋体" w:hAnsi="宋体" w:cs="宋体"/>
                <w:kern w:val="0"/>
                <w:sz w:val="22"/>
                <w:szCs w:val="22"/>
              </w:rPr>
              <w:t>20</w:t>
            </w:r>
            <w:r>
              <w:rPr>
                <w:rFonts w:hint="eastAsia" w:ascii="宋体" w:hAnsi="宋体" w:cs="宋体"/>
                <w:kern w:val="0"/>
                <w:sz w:val="22"/>
                <w:szCs w:val="22"/>
              </w:rPr>
              <w:t>万元以上的设备</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szCs w:val="22"/>
              </w:rPr>
            </w:pPr>
            <w:r>
              <w:rPr>
                <w:rFonts w:ascii="方正书宋_GBK" w:eastAsia="方正书宋_GBK" w:cs="方正书宋_GBK"/>
              </w:rPr>
              <w:t>1</w:t>
            </w: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szCs w:val="22"/>
              </w:rPr>
            </w:pPr>
            <w:r>
              <w:rPr>
                <w:rFonts w:ascii="方正书宋_GBK" w:eastAsia="方正书宋_GBK" w:cs="方正书宋_GBK"/>
              </w:rPr>
              <w:t>60.97</w:t>
            </w:r>
          </w:p>
        </w:tc>
      </w:tr>
      <w:tr>
        <w:tblPrEx>
          <w:tblCellMar>
            <w:top w:w="0" w:type="dxa"/>
            <w:left w:w="108" w:type="dxa"/>
            <w:bottom w:w="0" w:type="dxa"/>
            <w:right w:w="108" w:type="dxa"/>
          </w:tblCellMar>
        </w:tblPrEx>
        <w:trPr>
          <w:trHeight w:val="567" w:hRule="exact"/>
          <w:jc w:val="center"/>
        </w:trPr>
        <w:tc>
          <w:tcPr>
            <w:tcW w:w="5224" w:type="dxa"/>
            <w:tcBorders>
              <w:top w:val="nil"/>
              <w:left w:val="single" w:color="auto" w:sz="4" w:space="0"/>
              <w:bottom w:val="single" w:color="auto" w:sz="4" w:space="0"/>
              <w:right w:val="single" w:color="auto" w:sz="4" w:space="0"/>
            </w:tcBorders>
            <w:vAlign w:val="center"/>
          </w:tcPr>
          <w:p>
            <w:pPr>
              <w:widowControl/>
              <w:jc w:val="left"/>
              <w:rPr>
                <w:rFonts w:ascii="宋体" w:cs="Arial"/>
                <w:kern w:val="0"/>
                <w:sz w:val="22"/>
                <w:szCs w:val="22"/>
              </w:rPr>
            </w:pPr>
            <w:r>
              <w:rPr>
                <w:rFonts w:ascii="宋体" w:hAnsi="宋体" w:cs="宋体"/>
                <w:kern w:val="0"/>
                <w:sz w:val="22"/>
                <w:szCs w:val="22"/>
              </w:rPr>
              <w:t>4</w:t>
            </w:r>
            <w:r>
              <w:rPr>
                <w:rFonts w:hint="eastAsia" w:ascii="宋体" w:hAnsi="宋体" w:cs="宋体"/>
                <w:kern w:val="0"/>
                <w:sz w:val="22"/>
                <w:szCs w:val="22"/>
              </w:rPr>
              <w:t>、其他固定资产</w:t>
            </w:r>
          </w:p>
        </w:tc>
        <w:tc>
          <w:tcPr>
            <w:tcW w:w="3155"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szCs w:val="22"/>
              </w:rPr>
            </w:pPr>
          </w:p>
        </w:tc>
        <w:tc>
          <w:tcPr>
            <w:tcW w:w="5103" w:type="dxa"/>
            <w:tcBorders>
              <w:top w:val="nil"/>
              <w:left w:val="nil"/>
              <w:bottom w:val="single" w:color="auto" w:sz="4" w:space="0"/>
              <w:right w:val="single" w:color="auto" w:sz="4" w:space="0"/>
            </w:tcBorders>
            <w:vAlign w:val="center"/>
          </w:tcPr>
          <w:p>
            <w:pPr>
              <w:jc w:val="center"/>
              <w:rPr>
                <w:rFonts w:ascii="Times New Roman" w:hAnsi="Times New Roman" w:cs="Times New Roman"/>
                <w:sz w:val="22"/>
                <w:szCs w:val="22"/>
              </w:rPr>
            </w:pPr>
            <w:r>
              <w:rPr>
                <w:rFonts w:ascii="Times New Roman" w:hAnsi="Times New Roman" w:cs="Times New Roman"/>
                <w:sz w:val="22"/>
                <w:szCs w:val="22"/>
              </w:rPr>
              <w:t>804.11</w:t>
            </w:r>
          </w:p>
        </w:tc>
      </w:tr>
    </w:tbl>
    <w:p>
      <w:pPr>
        <w:autoSpaceDE w:val="0"/>
        <w:autoSpaceDN w:val="0"/>
        <w:adjustRightInd w:val="0"/>
        <w:spacing w:beforeLines="50"/>
        <w:ind w:firstLine="640" w:firstLineChars="200"/>
        <w:jc w:val="left"/>
        <w:rPr>
          <w:rFonts w:ascii="黑体" w:hAnsi="黑体" w:eastAsia="黑体" w:cs="Arial"/>
          <w:sz w:val="32"/>
          <w:szCs w:val="32"/>
        </w:rPr>
      </w:pPr>
      <w:r>
        <w:rPr>
          <w:rFonts w:hint="eastAsia" w:ascii="黑体" w:hAnsi="黑体" w:eastAsia="黑体" w:cs="黑体"/>
          <w:sz w:val="32"/>
          <w:szCs w:val="32"/>
        </w:rPr>
        <w:t>八、名词解释</w:t>
      </w:r>
    </w:p>
    <w:p>
      <w:pPr>
        <w:tabs>
          <w:tab w:val="left" w:pos="11490"/>
        </w:tabs>
        <w:ind w:firstLine="643" w:firstLineChars="200"/>
        <w:rPr>
          <w:rFonts w:ascii="仿宋_GB2312" w:hAnsi="仿宋_GB2312" w:eastAsia="仿宋_GB2312" w:cs="Arial"/>
          <w:sz w:val="32"/>
          <w:szCs w:val="32"/>
        </w:rPr>
      </w:pPr>
      <w:r>
        <w:rPr>
          <w:rFonts w:ascii="仿宋_GB2312" w:hAnsi="仿宋_GB2312" w:eastAsia="仿宋_GB2312" w:cs="仿宋_GB2312"/>
          <w:b/>
          <w:bCs/>
          <w:sz w:val="32"/>
          <w:szCs w:val="32"/>
        </w:rPr>
        <w:t>1</w:t>
      </w:r>
      <w:r>
        <w:rPr>
          <w:rFonts w:hint="eastAsia" w:ascii="仿宋_GB2312" w:hAnsi="仿宋_GB2312" w:eastAsia="仿宋_GB2312" w:cs="仿宋_GB2312"/>
          <w:b/>
          <w:bCs/>
          <w:sz w:val="32"/>
          <w:szCs w:val="32"/>
        </w:rPr>
        <w:t>、一般公共预算拨款收入：</w:t>
      </w:r>
      <w:r>
        <w:rPr>
          <w:rFonts w:hint="eastAsia" w:ascii="仿宋_GB2312" w:hAnsi="仿宋_GB2312" w:eastAsia="仿宋_GB2312" w:cs="仿宋_GB2312"/>
          <w:sz w:val="32"/>
          <w:szCs w:val="32"/>
        </w:rPr>
        <w:t>指区级财政当年拨付的资金。</w:t>
      </w:r>
    </w:p>
    <w:p>
      <w:pPr>
        <w:tabs>
          <w:tab w:val="left" w:pos="11490"/>
        </w:tabs>
        <w:ind w:firstLine="643" w:firstLineChars="200"/>
        <w:rPr>
          <w:rFonts w:ascii="仿宋_GB2312" w:hAnsi="仿宋_GB2312" w:eastAsia="仿宋_GB2312" w:cs="Arial"/>
          <w:sz w:val="32"/>
          <w:szCs w:val="32"/>
        </w:rPr>
      </w:pPr>
      <w:r>
        <w:rPr>
          <w:rFonts w:ascii="仿宋_GB2312" w:hAnsi="仿宋_GB2312" w:eastAsia="仿宋_GB2312" w:cs="仿宋_GB2312"/>
          <w:b/>
          <w:bCs/>
          <w:sz w:val="32"/>
          <w:szCs w:val="32"/>
        </w:rPr>
        <w:t>2</w:t>
      </w:r>
      <w:r>
        <w:rPr>
          <w:rFonts w:hint="eastAsia" w:ascii="仿宋_GB2312" w:hAnsi="仿宋_GB2312" w:eastAsia="仿宋_GB2312" w:cs="仿宋_GB2312"/>
          <w:b/>
          <w:bCs/>
          <w:sz w:val="32"/>
          <w:szCs w:val="32"/>
        </w:rPr>
        <w:t>、事业收入：</w:t>
      </w:r>
      <w:r>
        <w:rPr>
          <w:rFonts w:hint="eastAsia" w:ascii="仿宋_GB2312" w:hAnsi="仿宋_GB2312" w:eastAsia="仿宋_GB2312" w:cs="仿宋_GB2312"/>
          <w:sz w:val="32"/>
          <w:szCs w:val="32"/>
        </w:rPr>
        <w:t>指事业单位开展专业业务活动及辅助活动所取得的收入。</w:t>
      </w:r>
    </w:p>
    <w:p>
      <w:pPr>
        <w:tabs>
          <w:tab w:val="left" w:pos="11490"/>
        </w:tabs>
        <w:ind w:firstLine="643" w:firstLineChars="200"/>
        <w:rPr>
          <w:rFonts w:ascii="仿宋_GB2312" w:hAnsi="仿宋_GB2312" w:eastAsia="仿宋_GB2312" w:cs="Arial"/>
          <w:b/>
          <w:bCs/>
          <w:sz w:val="32"/>
          <w:szCs w:val="32"/>
        </w:rPr>
      </w:pPr>
      <w:r>
        <w:rPr>
          <w:rFonts w:ascii="仿宋_GB2312" w:hAnsi="仿宋_GB2312" w:eastAsia="仿宋_GB2312" w:cs="仿宋_GB2312"/>
          <w:b/>
          <w:bCs/>
          <w:sz w:val="32"/>
          <w:szCs w:val="32"/>
        </w:rPr>
        <w:t>3</w:t>
      </w:r>
      <w:r>
        <w:rPr>
          <w:rFonts w:hint="eastAsia" w:ascii="仿宋_GB2312" w:hAnsi="仿宋_GB2312" w:eastAsia="仿宋_GB2312" w:cs="仿宋_GB2312"/>
          <w:b/>
          <w:bCs/>
          <w:sz w:val="32"/>
          <w:szCs w:val="32"/>
        </w:rPr>
        <w:t>、其他收入：</w:t>
      </w:r>
      <w:r>
        <w:rPr>
          <w:rFonts w:hint="eastAsia" w:ascii="仿宋_GB2312" w:hAnsi="仿宋_GB2312" w:eastAsia="仿宋_GB2312" w:cs="仿宋_GB2312"/>
          <w:sz w:val="32"/>
          <w:szCs w:val="32"/>
        </w:rPr>
        <w:t>指除“一般公共预算拨款收入”、“事业收入”等以外的收入。主要是按规定动用的租房收入、存款利息收入等。</w:t>
      </w:r>
    </w:p>
    <w:p>
      <w:pPr>
        <w:tabs>
          <w:tab w:val="left" w:pos="11490"/>
        </w:tabs>
        <w:ind w:firstLine="643" w:firstLineChars="200"/>
        <w:rPr>
          <w:rFonts w:ascii="仿宋_GB2312" w:hAnsi="仿宋_GB2312" w:eastAsia="仿宋_GB2312" w:cs="Arial"/>
          <w:sz w:val="32"/>
          <w:szCs w:val="32"/>
        </w:rPr>
      </w:pPr>
      <w:r>
        <w:rPr>
          <w:rFonts w:ascii="仿宋_GB2312" w:hAnsi="仿宋_GB2312" w:eastAsia="仿宋_GB2312" w:cs="仿宋_GB2312"/>
          <w:b/>
          <w:bCs/>
          <w:sz w:val="32"/>
          <w:szCs w:val="32"/>
        </w:rPr>
        <w:t>4</w:t>
      </w:r>
      <w:r>
        <w:rPr>
          <w:rFonts w:hint="eastAsia" w:ascii="仿宋_GB2312" w:hAnsi="仿宋_GB2312" w:eastAsia="仿宋_GB2312" w:cs="仿宋_GB2312"/>
          <w:b/>
          <w:bCs/>
          <w:sz w:val="32"/>
          <w:szCs w:val="32"/>
        </w:rPr>
        <w:t>、基本支出：</w:t>
      </w:r>
      <w:r>
        <w:rPr>
          <w:rFonts w:hint="eastAsia" w:ascii="仿宋_GB2312" w:hAnsi="仿宋_GB2312" w:eastAsia="仿宋_GB2312" w:cs="仿宋_GB2312"/>
          <w:sz w:val="32"/>
          <w:szCs w:val="32"/>
        </w:rPr>
        <w:t>指为保障机构正常运转、完成日常工作任务而发生的人员支出和公用支出。</w:t>
      </w:r>
    </w:p>
    <w:p>
      <w:pPr>
        <w:tabs>
          <w:tab w:val="left" w:pos="11490"/>
        </w:tabs>
        <w:ind w:firstLine="643" w:firstLineChars="200"/>
        <w:rPr>
          <w:rFonts w:ascii="仿宋_GB2312" w:hAnsi="仿宋_GB2312" w:eastAsia="仿宋_GB2312" w:cs="Arial"/>
          <w:sz w:val="32"/>
          <w:szCs w:val="32"/>
        </w:rPr>
      </w:pPr>
      <w:r>
        <w:rPr>
          <w:rFonts w:ascii="仿宋_GB2312" w:hAnsi="仿宋_GB2312" w:eastAsia="仿宋_GB2312" w:cs="仿宋_GB2312"/>
          <w:b/>
          <w:bCs/>
          <w:sz w:val="32"/>
          <w:szCs w:val="32"/>
        </w:rPr>
        <w:t>5</w:t>
      </w:r>
      <w:r>
        <w:rPr>
          <w:rFonts w:hint="eastAsia" w:ascii="仿宋_GB2312" w:hAnsi="仿宋_GB2312" w:eastAsia="仿宋_GB2312" w:cs="仿宋_GB2312"/>
          <w:b/>
          <w:bCs/>
          <w:sz w:val="32"/>
          <w:szCs w:val="32"/>
        </w:rPr>
        <w:t>、项目支出：</w:t>
      </w:r>
      <w:r>
        <w:rPr>
          <w:rFonts w:hint="eastAsia" w:ascii="仿宋_GB2312" w:hAnsi="仿宋_GB2312" w:eastAsia="仿宋_GB2312" w:cs="仿宋_GB2312"/>
          <w:sz w:val="32"/>
          <w:szCs w:val="32"/>
        </w:rPr>
        <w:t>指在基本支出之外为完成特定行政任务和事业发展目标所发生的支出。</w:t>
      </w:r>
    </w:p>
    <w:p>
      <w:pPr>
        <w:tabs>
          <w:tab w:val="left" w:pos="11490"/>
        </w:tabs>
        <w:ind w:firstLine="643" w:firstLineChars="200"/>
        <w:rPr>
          <w:rFonts w:ascii="仿宋_GB2312" w:hAnsi="仿宋_GB2312" w:eastAsia="仿宋_GB2312" w:cs="Arial"/>
          <w:sz w:val="32"/>
          <w:szCs w:val="32"/>
        </w:rPr>
      </w:pPr>
      <w:r>
        <w:rPr>
          <w:rFonts w:ascii="仿宋_GB2312" w:hAnsi="仿宋_GB2312" w:eastAsia="仿宋_GB2312" w:cs="仿宋_GB2312"/>
          <w:b/>
          <w:bCs/>
          <w:sz w:val="32"/>
          <w:szCs w:val="32"/>
        </w:rPr>
        <w:t>6</w:t>
      </w:r>
      <w:r>
        <w:rPr>
          <w:rFonts w:hint="eastAsia" w:ascii="仿宋_GB2312" w:hAnsi="仿宋_GB2312" w:eastAsia="仿宋_GB2312" w:cs="仿宋_GB2312"/>
          <w:b/>
          <w:bCs/>
          <w:sz w:val="32"/>
          <w:szCs w:val="32"/>
        </w:rPr>
        <w:t>、上缴上级支出：</w:t>
      </w:r>
      <w:r>
        <w:rPr>
          <w:rFonts w:hint="eastAsia" w:ascii="仿宋_GB2312" w:hAnsi="仿宋_GB2312" w:eastAsia="仿宋_GB2312" w:cs="仿宋_GB2312"/>
          <w:sz w:val="32"/>
          <w:szCs w:val="32"/>
        </w:rPr>
        <w:t>指下级单位上缴上级的支出。</w:t>
      </w:r>
    </w:p>
    <w:p>
      <w:pPr>
        <w:tabs>
          <w:tab w:val="left" w:pos="11490"/>
        </w:tabs>
        <w:ind w:firstLine="643" w:firstLineChars="200"/>
        <w:rPr>
          <w:rFonts w:ascii="仿宋_GB2312" w:hAnsi="仿宋_GB2312" w:eastAsia="仿宋_GB2312" w:cs="Arial"/>
          <w:sz w:val="32"/>
          <w:szCs w:val="32"/>
        </w:rPr>
      </w:pPr>
      <w:r>
        <w:rPr>
          <w:rFonts w:ascii="仿宋_GB2312" w:hAnsi="仿宋_GB2312" w:eastAsia="仿宋_GB2312" w:cs="仿宋_GB2312"/>
          <w:b/>
          <w:bCs/>
          <w:sz w:val="32"/>
          <w:szCs w:val="32"/>
        </w:rPr>
        <w:t>7</w:t>
      </w:r>
      <w:r>
        <w:rPr>
          <w:rFonts w:hint="eastAsia" w:ascii="仿宋_GB2312" w:hAnsi="仿宋_GB2312" w:eastAsia="仿宋_GB2312" w:cs="仿宋_GB2312"/>
          <w:b/>
          <w:bCs/>
          <w:sz w:val="32"/>
          <w:szCs w:val="32"/>
        </w:rPr>
        <w:t>、“三公”经费：</w:t>
      </w:r>
      <w:r>
        <w:rPr>
          <w:rFonts w:hint="eastAsia" w:ascii="仿宋_GB2312" w:hAnsi="仿宋_GB2312" w:eastAsia="仿宋_GB2312" w:cs="仿宋_GB2312"/>
          <w:sz w:val="32"/>
          <w:szCs w:val="32"/>
        </w:rPr>
        <w:t>纳入区级财政预算管理的“三公”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tabs>
          <w:tab w:val="left" w:pos="11490"/>
        </w:tabs>
        <w:ind w:firstLine="643" w:firstLineChars="200"/>
        <w:rPr>
          <w:rFonts w:ascii="仿宋_GB2312" w:hAnsi="仿宋_GB2312" w:eastAsia="仿宋_GB2312" w:cs="Arial"/>
          <w:sz w:val="32"/>
          <w:szCs w:val="32"/>
        </w:rPr>
      </w:pPr>
      <w:r>
        <w:rPr>
          <w:rFonts w:ascii="仿宋_GB2312" w:hAnsi="仿宋_GB2312" w:eastAsia="仿宋_GB2312" w:cs="仿宋_GB2312"/>
          <w:b/>
          <w:bCs/>
          <w:sz w:val="32"/>
          <w:szCs w:val="32"/>
        </w:rPr>
        <w:t>8</w:t>
      </w:r>
      <w:r>
        <w:rPr>
          <w:rFonts w:hint="eastAsia" w:ascii="仿宋_GB2312" w:hAnsi="仿宋_GB2312" w:eastAsia="仿宋_GB2312" w:cs="仿宋_GB2312"/>
          <w:b/>
          <w:bCs/>
          <w:sz w:val="32"/>
          <w:szCs w:val="32"/>
        </w:rPr>
        <w:t>、机关运行费：</w:t>
      </w:r>
      <w:r>
        <w:rPr>
          <w:rFonts w:hint="eastAsia" w:ascii="仿宋_GB2312" w:hAnsi="仿宋_GB2312" w:eastAsia="仿宋_GB2312" w:cs="仿宋_GB2312"/>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tabs>
          <w:tab w:val="left" w:pos="11490"/>
        </w:tabs>
        <w:ind w:firstLine="643" w:firstLineChars="200"/>
        <w:rPr>
          <w:rFonts w:ascii="仿宋_GB2312" w:hAnsi="仿宋_GB2312" w:eastAsia="仿宋_GB2312" w:cs="Arial"/>
          <w:sz w:val="32"/>
          <w:szCs w:val="32"/>
        </w:rPr>
      </w:pPr>
      <w:r>
        <w:rPr>
          <w:rFonts w:ascii="仿宋_GB2312" w:hAnsi="仿宋_GB2312" w:eastAsia="仿宋_GB2312" w:cs="仿宋_GB2312"/>
          <w:b/>
          <w:bCs/>
          <w:sz w:val="32"/>
          <w:szCs w:val="32"/>
        </w:rPr>
        <w:t>9</w:t>
      </w:r>
      <w:r>
        <w:rPr>
          <w:rFonts w:hint="eastAsia" w:ascii="仿宋_GB2312" w:hAnsi="仿宋_GB2312" w:eastAsia="仿宋_GB2312" w:cs="仿宋_GB2312"/>
          <w:b/>
          <w:bCs/>
          <w:sz w:val="32"/>
          <w:szCs w:val="32"/>
        </w:rPr>
        <w:t>、上年结转：</w:t>
      </w:r>
      <w:r>
        <w:rPr>
          <w:rFonts w:hint="eastAsia" w:ascii="仿宋_GB2312" w:hAnsi="仿宋_GB2312" w:eastAsia="仿宋_GB2312" w:cs="仿宋_GB2312"/>
          <w:sz w:val="32"/>
          <w:szCs w:val="32"/>
        </w:rPr>
        <w:t>指以前年度尚未完成、结转到本年仍按原规定用途继续使用的资金。</w:t>
      </w:r>
    </w:p>
    <w:p>
      <w:pPr>
        <w:tabs>
          <w:tab w:val="left" w:pos="11490"/>
        </w:tabs>
        <w:ind w:firstLine="643" w:firstLineChars="200"/>
        <w:rPr>
          <w:rFonts w:ascii="仿宋_GB2312" w:hAnsi="仿宋_GB2312" w:eastAsia="仿宋_GB2312" w:cs="Arial"/>
          <w:sz w:val="32"/>
          <w:szCs w:val="32"/>
        </w:rPr>
      </w:pPr>
      <w:r>
        <w:rPr>
          <w:rFonts w:ascii="仿宋_GB2312" w:hAnsi="仿宋_GB2312" w:eastAsia="仿宋_GB2312" w:cs="仿宋_GB2312"/>
          <w:b/>
          <w:bCs/>
          <w:sz w:val="32"/>
          <w:szCs w:val="32"/>
        </w:rPr>
        <w:t>10</w:t>
      </w:r>
      <w:r>
        <w:rPr>
          <w:rFonts w:hint="eastAsia" w:ascii="仿宋_GB2312" w:hAnsi="仿宋_GB2312" w:eastAsia="仿宋_GB2312" w:cs="仿宋_GB2312"/>
          <w:b/>
          <w:bCs/>
          <w:sz w:val="32"/>
          <w:szCs w:val="32"/>
        </w:rPr>
        <w:t>、事业单位经营支出：</w:t>
      </w:r>
      <w:r>
        <w:rPr>
          <w:rFonts w:hint="eastAsia" w:ascii="仿宋_GB2312" w:hAnsi="仿宋_GB2312" w:eastAsia="仿宋_GB2312" w:cs="仿宋_GB2312"/>
          <w:sz w:val="32"/>
          <w:szCs w:val="32"/>
        </w:rPr>
        <w:t>指事业单位在专业业务活动及其辅助活动之外开展非独立核算经营活动发生的支出。</w:t>
      </w:r>
    </w:p>
    <w:p>
      <w:pPr>
        <w:autoSpaceDE w:val="0"/>
        <w:autoSpaceDN w:val="0"/>
        <w:adjustRightInd w:val="0"/>
        <w:ind w:firstLine="640" w:firstLineChars="200"/>
        <w:jc w:val="left"/>
        <w:rPr>
          <w:rFonts w:ascii="黑体" w:hAnsi="黑体" w:eastAsia="黑体" w:cs="Arial"/>
          <w:sz w:val="32"/>
          <w:szCs w:val="32"/>
        </w:rPr>
      </w:pPr>
      <w:r>
        <w:rPr>
          <w:rFonts w:hint="eastAsia" w:ascii="黑体" w:hAnsi="黑体" w:eastAsia="黑体" w:cs="黑体"/>
          <w:sz w:val="32"/>
          <w:szCs w:val="32"/>
        </w:rPr>
        <w:t>九、其他需要说明的事项</w:t>
      </w:r>
    </w:p>
    <w:p>
      <w:pPr>
        <w:ind w:firstLine="640" w:firstLineChars="200"/>
        <w:rPr>
          <w:rFonts w:ascii="仿宋_GB2312" w:hAnsi="Times New Roman" w:eastAsia="仿宋_GB2312" w:cs="Arial"/>
          <w:sz w:val="32"/>
          <w:szCs w:val="32"/>
        </w:rPr>
      </w:pPr>
      <w:r>
        <w:rPr>
          <w:rFonts w:hint="eastAsia" w:ascii="仿宋_GB2312" w:hAnsi="Times New Roman" w:eastAsia="仿宋_GB2312" w:cs="仿宋_GB2312"/>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endnote>
  <w:endnote w:type="continuationSeparator" w:id="1">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E7A0E53-F73B-4F75-9011-C3F3A50E8DAB}"/>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embedRegular r:id="rId2" w:fontKey="{E5A3282A-0617-4B43-82A6-D5CCC821A19D}"/>
  </w:font>
  <w:font w:name="Calibri">
    <w:panose1 w:val="020F0502020204030204"/>
    <w:charset w:val="00"/>
    <w:family w:val="swiss"/>
    <w:pitch w:val="default"/>
    <w:sig w:usb0="E00002FF" w:usb1="4000ACFF" w:usb2="00000001" w:usb3="00000000" w:csb0="2000019F" w:csb1="00000000"/>
    <w:embedRegular r:id="rId3" w:fontKey="{66D9DA24-E676-47F9-BA61-AF9D6F3200CD}"/>
  </w:font>
  <w:font w:name="Arial">
    <w:panose1 w:val="020B0604020202020204"/>
    <w:charset w:val="00"/>
    <w:family w:val="swiss"/>
    <w:pitch w:val="default"/>
    <w:sig w:usb0="E0002AFF" w:usb1="C0007843" w:usb2="00000009" w:usb3="00000000" w:csb0="400001FF" w:csb1="FFFF0000"/>
    <w:embedRegular r:id="rId4" w:fontKey="{EBE87E2D-662E-4020-83FB-9BB1C3F6747D}"/>
  </w:font>
  <w:font w:name="方正小标宋_GBK">
    <w:panose1 w:val="02000000000000000000"/>
    <w:charset w:val="86"/>
    <w:family w:val="roman"/>
    <w:pitch w:val="default"/>
    <w:sig w:usb0="00000001" w:usb1="080E0000" w:usb2="00000000" w:usb3="00000000" w:csb0="00040000" w:csb1="00000000"/>
    <w:embedRegular r:id="rId5" w:fontKey="{F6CCE41C-2797-45F4-B36C-88D301470F13}"/>
  </w:font>
  <w:font w:name="仿宋_GB2312">
    <w:panose1 w:val="02010609030101010101"/>
    <w:charset w:val="86"/>
    <w:family w:val="modern"/>
    <w:pitch w:val="default"/>
    <w:sig w:usb0="00000001" w:usb1="080E0000" w:usb2="00000000" w:usb3="00000000" w:csb0="00040000" w:csb1="00000000"/>
    <w:embedRegular r:id="rId6" w:fontKey="{F31601F2-E4DE-4890-B932-74D3764D2847}"/>
  </w:font>
  <w:font w:name="方正小标宋简体">
    <w:panose1 w:val="03000509000000000000"/>
    <w:charset w:val="86"/>
    <w:family w:val="auto"/>
    <w:pitch w:val="default"/>
    <w:sig w:usb0="00000001" w:usb1="080E0000" w:usb2="00000000" w:usb3="00000000" w:csb0="00040000" w:csb1="00000000"/>
    <w:embedRegular r:id="rId7" w:fontKey="{4AC1455C-35E4-4F90-9C85-D88C39E77AE2}"/>
  </w:font>
  <w:font w:name="仿宋">
    <w:panose1 w:val="02010609060101010101"/>
    <w:charset w:val="86"/>
    <w:family w:val="modern"/>
    <w:pitch w:val="default"/>
    <w:sig w:usb0="800002BF" w:usb1="38CF7CFA" w:usb2="00000016" w:usb3="00000000" w:csb0="00040001" w:csb1="00000000"/>
    <w:embedRegular r:id="rId8" w:fontKey="{53C4B2C8-6B53-40C6-967F-372B1CA56B97}"/>
  </w:font>
  <w:font w:name="楷体_GB2312">
    <w:altName w:val="楷体"/>
    <w:panose1 w:val="00000000000000000000"/>
    <w:charset w:val="86"/>
    <w:family w:val="modern"/>
    <w:pitch w:val="default"/>
    <w:sig w:usb0="00000000" w:usb1="00000000" w:usb2="00000010" w:usb3="00000000" w:csb0="00040000" w:csb1="00000000"/>
    <w:embedRegular r:id="rId9" w:fontKey="{949BBDCE-E869-42EA-8750-7A586E92326C}"/>
  </w:font>
  <w:font w:name="方正书宋_GBK">
    <w:panose1 w:val="03000509000000000000"/>
    <w:charset w:val="86"/>
    <w:family w:val="script"/>
    <w:pitch w:val="default"/>
    <w:sig w:usb0="00000001" w:usb1="080E0000" w:usb2="00000000" w:usb3="00000000" w:csb0="00040000" w:csb1="00000000"/>
    <w:embedRegular r:id="rId10" w:fontKey="{5C418244-BB8F-4121-9C89-D08DB7CBA923}"/>
  </w:font>
  <w:font w:name="方正仿宋_GBK">
    <w:panose1 w:val="03000509000000000000"/>
    <w:charset w:val="86"/>
    <w:family w:val="roman"/>
    <w:pitch w:val="default"/>
    <w:sig w:usb0="00000001" w:usb1="080E0000" w:usb2="00000000" w:usb3="00000000" w:csb0="00040000" w:csb1="00000000"/>
    <w:embedRegular r:id="rId11" w:fontKey="{585B9F7E-9B11-45BF-815E-A92A06E71B30}"/>
  </w:font>
  <w:font w:name="楷体">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footnote>
  <w:footnote w:type="continuationSeparator" w:id="1">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D3D1251"/>
    <w:multiLevelType w:val="singleLevel"/>
    <w:tmpl w:val="1D3D1251"/>
    <w:lvl w:ilvl="0" w:tentative="0">
      <w:start w:val="7"/>
      <w:numFmt w:val="chineseCounting"/>
      <w:suff w:val="nothing"/>
      <w:lvlText w:val="%1、"/>
      <w:lvlJc w:val="left"/>
      <w:rPr>
        <w:rFonts w:hint="eastAsia"/>
      </w:rPr>
    </w:lvl>
  </w:abstractNum>
  <w:abstractNum w:abstractNumId="1">
    <w:nsid w:val="5057D896"/>
    <w:multiLevelType w:val="singleLevel"/>
    <w:tmpl w:val="5057D896"/>
    <w:lvl w:ilvl="0" w:tentative="0">
      <w:start w:val="2"/>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footnotePr>
    <w:footnote w:id="0"/>
    <w:footnote w:id="1"/>
  </w:footnotePr>
  <w:endnotePr>
    <w:endnote w:id="0"/>
    <w:endnote w:id="1"/>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YyZjdmMGU2ZmJlODNiZjc4ODYzMzBiMDZkNWM5OTkifQ=="/>
  </w:docVars>
  <w:rsids>
    <w:rsidRoot w:val="00F66032"/>
    <w:rsid w:val="00034786"/>
    <w:rsid w:val="00037AF6"/>
    <w:rsid w:val="00042F57"/>
    <w:rsid w:val="0006483E"/>
    <w:rsid w:val="00075D5F"/>
    <w:rsid w:val="0008102F"/>
    <w:rsid w:val="000A2BA6"/>
    <w:rsid w:val="000B17CC"/>
    <w:rsid w:val="000B529B"/>
    <w:rsid w:val="000C3A19"/>
    <w:rsid w:val="001245BB"/>
    <w:rsid w:val="001251A3"/>
    <w:rsid w:val="001315B7"/>
    <w:rsid w:val="001449E1"/>
    <w:rsid w:val="001B4EF3"/>
    <w:rsid w:val="001C514D"/>
    <w:rsid w:val="001F7873"/>
    <w:rsid w:val="00241FD4"/>
    <w:rsid w:val="00251B12"/>
    <w:rsid w:val="002940E5"/>
    <w:rsid w:val="00296113"/>
    <w:rsid w:val="002A673A"/>
    <w:rsid w:val="002C07BE"/>
    <w:rsid w:val="002C5E13"/>
    <w:rsid w:val="002C62BC"/>
    <w:rsid w:val="002C7C58"/>
    <w:rsid w:val="002D6425"/>
    <w:rsid w:val="002E0EB8"/>
    <w:rsid w:val="002F3E58"/>
    <w:rsid w:val="0030542C"/>
    <w:rsid w:val="00311B7A"/>
    <w:rsid w:val="00345C0C"/>
    <w:rsid w:val="00372FA3"/>
    <w:rsid w:val="003D417F"/>
    <w:rsid w:val="003F60E9"/>
    <w:rsid w:val="00404EC0"/>
    <w:rsid w:val="00421919"/>
    <w:rsid w:val="004248B8"/>
    <w:rsid w:val="00424943"/>
    <w:rsid w:val="0043175C"/>
    <w:rsid w:val="004341EF"/>
    <w:rsid w:val="00435E45"/>
    <w:rsid w:val="00435FB6"/>
    <w:rsid w:val="00437296"/>
    <w:rsid w:val="00451590"/>
    <w:rsid w:val="00451871"/>
    <w:rsid w:val="004631FC"/>
    <w:rsid w:val="004706DE"/>
    <w:rsid w:val="00472923"/>
    <w:rsid w:val="00496109"/>
    <w:rsid w:val="004B0C3A"/>
    <w:rsid w:val="004D5788"/>
    <w:rsid w:val="004E3066"/>
    <w:rsid w:val="004E74CD"/>
    <w:rsid w:val="00516E04"/>
    <w:rsid w:val="00523F14"/>
    <w:rsid w:val="00565588"/>
    <w:rsid w:val="00572067"/>
    <w:rsid w:val="00573562"/>
    <w:rsid w:val="00590ECE"/>
    <w:rsid w:val="00592ADD"/>
    <w:rsid w:val="00593B55"/>
    <w:rsid w:val="00596B03"/>
    <w:rsid w:val="005C2B8D"/>
    <w:rsid w:val="005E4700"/>
    <w:rsid w:val="00614A29"/>
    <w:rsid w:val="00641995"/>
    <w:rsid w:val="00643AA7"/>
    <w:rsid w:val="00673D76"/>
    <w:rsid w:val="00674CD7"/>
    <w:rsid w:val="006854F0"/>
    <w:rsid w:val="00692079"/>
    <w:rsid w:val="006A2CA7"/>
    <w:rsid w:val="006B1C4A"/>
    <w:rsid w:val="006B610D"/>
    <w:rsid w:val="006E49F5"/>
    <w:rsid w:val="006F4476"/>
    <w:rsid w:val="007013C8"/>
    <w:rsid w:val="0071083E"/>
    <w:rsid w:val="00710EDB"/>
    <w:rsid w:val="00717B1E"/>
    <w:rsid w:val="00753836"/>
    <w:rsid w:val="0075393C"/>
    <w:rsid w:val="00754592"/>
    <w:rsid w:val="00776C08"/>
    <w:rsid w:val="00781655"/>
    <w:rsid w:val="007C219A"/>
    <w:rsid w:val="007D7F53"/>
    <w:rsid w:val="007E1DA8"/>
    <w:rsid w:val="007F6C26"/>
    <w:rsid w:val="00813208"/>
    <w:rsid w:val="00822D45"/>
    <w:rsid w:val="008334AE"/>
    <w:rsid w:val="00836FED"/>
    <w:rsid w:val="0083724E"/>
    <w:rsid w:val="00845CD2"/>
    <w:rsid w:val="00852B0D"/>
    <w:rsid w:val="00855911"/>
    <w:rsid w:val="008665EF"/>
    <w:rsid w:val="00881692"/>
    <w:rsid w:val="00883D1A"/>
    <w:rsid w:val="008A25C2"/>
    <w:rsid w:val="008A6576"/>
    <w:rsid w:val="008B3CC5"/>
    <w:rsid w:val="008B52CD"/>
    <w:rsid w:val="008E4261"/>
    <w:rsid w:val="008F4662"/>
    <w:rsid w:val="00905D08"/>
    <w:rsid w:val="00925753"/>
    <w:rsid w:val="009425F4"/>
    <w:rsid w:val="00966C5C"/>
    <w:rsid w:val="00973104"/>
    <w:rsid w:val="00995BF0"/>
    <w:rsid w:val="00997443"/>
    <w:rsid w:val="009A16D5"/>
    <w:rsid w:val="009A353D"/>
    <w:rsid w:val="009B0B77"/>
    <w:rsid w:val="009B511E"/>
    <w:rsid w:val="009D023C"/>
    <w:rsid w:val="00A231B0"/>
    <w:rsid w:val="00A44E3D"/>
    <w:rsid w:val="00A45847"/>
    <w:rsid w:val="00A72D2E"/>
    <w:rsid w:val="00A74447"/>
    <w:rsid w:val="00A74CE5"/>
    <w:rsid w:val="00A84E46"/>
    <w:rsid w:val="00A911E7"/>
    <w:rsid w:val="00A939D9"/>
    <w:rsid w:val="00AF7256"/>
    <w:rsid w:val="00B07D9E"/>
    <w:rsid w:val="00B12F34"/>
    <w:rsid w:val="00B20712"/>
    <w:rsid w:val="00B43238"/>
    <w:rsid w:val="00B45DD3"/>
    <w:rsid w:val="00B52632"/>
    <w:rsid w:val="00B727A9"/>
    <w:rsid w:val="00B75216"/>
    <w:rsid w:val="00B801CF"/>
    <w:rsid w:val="00B91D52"/>
    <w:rsid w:val="00B9490F"/>
    <w:rsid w:val="00BA1ACD"/>
    <w:rsid w:val="00BD09F8"/>
    <w:rsid w:val="00C2049B"/>
    <w:rsid w:val="00CA3952"/>
    <w:rsid w:val="00CA7176"/>
    <w:rsid w:val="00CB0B3A"/>
    <w:rsid w:val="00CB3D48"/>
    <w:rsid w:val="00CB4665"/>
    <w:rsid w:val="00CC75B0"/>
    <w:rsid w:val="00CD2773"/>
    <w:rsid w:val="00CE143B"/>
    <w:rsid w:val="00D0024A"/>
    <w:rsid w:val="00D27003"/>
    <w:rsid w:val="00DB4A9B"/>
    <w:rsid w:val="00DE7EC5"/>
    <w:rsid w:val="00E167C7"/>
    <w:rsid w:val="00E2482E"/>
    <w:rsid w:val="00E73D47"/>
    <w:rsid w:val="00EC47F6"/>
    <w:rsid w:val="00EE65B8"/>
    <w:rsid w:val="00F149E2"/>
    <w:rsid w:val="00F66032"/>
    <w:rsid w:val="00F87C1E"/>
    <w:rsid w:val="00F958C2"/>
    <w:rsid w:val="00FE2884"/>
    <w:rsid w:val="1114352C"/>
    <w:rsid w:val="1849796D"/>
    <w:rsid w:val="1B144655"/>
    <w:rsid w:val="26C6579E"/>
    <w:rsid w:val="2A9C475F"/>
    <w:rsid w:val="2E935060"/>
    <w:rsid w:val="37797074"/>
    <w:rsid w:val="37827926"/>
    <w:rsid w:val="39C13912"/>
    <w:rsid w:val="3D4B7D2E"/>
    <w:rsid w:val="43BE52F0"/>
    <w:rsid w:val="469E0A37"/>
    <w:rsid w:val="4B201CBA"/>
    <w:rsid w:val="4F9C68F9"/>
    <w:rsid w:val="508048F1"/>
    <w:rsid w:val="59E91B16"/>
    <w:rsid w:val="60802F25"/>
    <w:rsid w:val="610C49BA"/>
    <w:rsid w:val="61853AEA"/>
    <w:rsid w:val="61FE6C7A"/>
    <w:rsid w:val="66AC1E7C"/>
    <w:rsid w:val="68590645"/>
    <w:rsid w:val="6BB10FB4"/>
    <w:rsid w:val="6C567FC4"/>
    <w:rsid w:val="7B540D39"/>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99" w:name="toc 1"/>
    <w:lsdException w:unhideWhenUsed="0" w:uiPriority="99"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qFormat="1" w:unhideWhenUsed="0" w:uiPriority="99" w:name="footnote text"/>
    <w:lsdException w:uiPriority="99" w:name="annotation text" w:locked="1"/>
    <w:lsdException w:qFormat="1" w:unhideWhenUsed="0" w:uiPriority="99" w:semiHidden="0" w:name="header"/>
    <w:lsdException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nhideWhenUsed="0" w:uiPriority="99" w:name="footnote reference"/>
    <w:lsdException w:uiPriority="99" w:name="annotation reference" w:locked="1"/>
    <w:lsdException w:uiPriority="99" w:name="line number" w:locked="1"/>
    <w:lsdException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unhideWhenUsed="0" w:uiPriority="99" w:semiHidden="0" w:name="Hyperlink"/>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uiPriority="99"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nhideWhenUsed="0" w:uiPriority="99" w:name="Balloon Text"/>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autoRedefine/>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3"/>
    <w:semiHidden/>
    <w:uiPriority w:val="99"/>
    <w:rPr>
      <w:sz w:val="18"/>
      <w:szCs w:val="18"/>
    </w:rPr>
  </w:style>
  <w:style w:type="paragraph" w:styleId="3">
    <w:name w:val="footer"/>
    <w:basedOn w:val="1"/>
    <w:link w:val="14"/>
    <w:uiPriority w:val="99"/>
    <w:pPr>
      <w:tabs>
        <w:tab w:val="center" w:pos="4153"/>
        <w:tab w:val="right" w:pos="8306"/>
      </w:tabs>
      <w:snapToGrid w:val="0"/>
      <w:jc w:val="left"/>
    </w:pPr>
    <w:rPr>
      <w:rFonts w:ascii="Times New Roman" w:hAnsi="Times New Roman" w:cs="Times New Roman"/>
      <w:sz w:val="18"/>
      <w:szCs w:val="18"/>
    </w:rPr>
  </w:style>
  <w:style w:type="paragraph" w:styleId="4">
    <w:name w:val="header"/>
    <w:basedOn w:val="1"/>
    <w:link w:val="15"/>
    <w:qFormat/>
    <w:uiPriority w:val="99"/>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5">
    <w:name w:val="toc 1"/>
    <w:basedOn w:val="1"/>
    <w:next w:val="1"/>
    <w:autoRedefine/>
    <w:semiHidden/>
    <w:uiPriority w:val="99"/>
    <w:rPr>
      <w:rFonts w:ascii="Times New Roman" w:hAnsi="Times New Roman" w:cs="Times New Roman"/>
    </w:rPr>
  </w:style>
  <w:style w:type="paragraph" w:styleId="6">
    <w:name w:val="footnote text"/>
    <w:basedOn w:val="1"/>
    <w:link w:val="16"/>
    <w:semiHidden/>
    <w:qFormat/>
    <w:uiPriority w:val="99"/>
    <w:pPr>
      <w:snapToGrid w:val="0"/>
      <w:jc w:val="left"/>
    </w:pPr>
    <w:rPr>
      <w:sz w:val="18"/>
      <w:szCs w:val="18"/>
    </w:rPr>
  </w:style>
  <w:style w:type="paragraph" w:styleId="7">
    <w:name w:val="toc 2"/>
    <w:basedOn w:val="1"/>
    <w:next w:val="1"/>
    <w:autoRedefine/>
    <w:semiHidden/>
    <w:uiPriority w:val="99"/>
    <w:pPr>
      <w:ind w:left="420" w:leftChars="200"/>
    </w:pPr>
    <w:rPr>
      <w:rFonts w:ascii="Times New Roman" w:hAnsi="Times New Roman" w:cs="Times New Roman"/>
    </w:rPr>
  </w:style>
  <w:style w:type="character" w:styleId="10">
    <w:name w:val="page number"/>
    <w:basedOn w:val="9"/>
    <w:uiPriority w:val="99"/>
  </w:style>
  <w:style w:type="character" w:styleId="11">
    <w:name w:val="Hyperlink"/>
    <w:basedOn w:val="9"/>
    <w:uiPriority w:val="99"/>
    <w:rPr>
      <w:color w:val="0000FF"/>
      <w:u w:val="single"/>
    </w:rPr>
  </w:style>
  <w:style w:type="character" w:styleId="12">
    <w:name w:val="footnote reference"/>
    <w:basedOn w:val="9"/>
    <w:semiHidden/>
    <w:uiPriority w:val="99"/>
    <w:rPr>
      <w:vertAlign w:val="superscript"/>
    </w:rPr>
  </w:style>
  <w:style w:type="character" w:customStyle="1" w:styleId="13">
    <w:name w:val="Balloon Text Char"/>
    <w:basedOn w:val="9"/>
    <w:link w:val="2"/>
    <w:semiHidden/>
    <w:locked/>
    <w:uiPriority w:val="99"/>
    <w:rPr>
      <w:sz w:val="18"/>
      <w:szCs w:val="18"/>
    </w:rPr>
  </w:style>
  <w:style w:type="character" w:customStyle="1" w:styleId="14">
    <w:name w:val="Footer Char"/>
    <w:basedOn w:val="9"/>
    <w:link w:val="3"/>
    <w:locked/>
    <w:uiPriority w:val="99"/>
    <w:rPr>
      <w:rFonts w:ascii="Times New Roman" w:hAnsi="Times New Roman" w:eastAsia="宋体" w:cs="Times New Roman"/>
      <w:sz w:val="18"/>
      <w:szCs w:val="18"/>
    </w:rPr>
  </w:style>
  <w:style w:type="character" w:customStyle="1" w:styleId="15">
    <w:name w:val="Header Char"/>
    <w:basedOn w:val="9"/>
    <w:link w:val="4"/>
    <w:locked/>
    <w:uiPriority w:val="99"/>
    <w:rPr>
      <w:rFonts w:ascii="Times New Roman" w:hAnsi="Times New Roman" w:eastAsia="宋体" w:cs="Times New Roman"/>
      <w:sz w:val="18"/>
      <w:szCs w:val="18"/>
    </w:rPr>
  </w:style>
  <w:style w:type="character" w:customStyle="1" w:styleId="16">
    <w:name w:val="Footnote Text Char"/>
    <w:basedOn w:val="9"/>
    <w:link w:val="6"/>
    <w:semiHidden/>
    <w:locked/>
    <w:uiPriority w:val="99"/>
    <w:rPr>
      <w:rFonts w:ascii="Calibri" w:hAnsi="Calibri" w:eastAsia="宋体" w:cs="Calibri"/>
      <w:sz w:val="18"/>
      <w:szCs w:val="18"/>
    </w:rPr>
  </w:style>
  <w:style w:type="paragraph" w:customStyle="1" w:styleId="17">
    <w:name w:val="Default"/>
    <w:uiPriority w:val="99"/>
    <w:pPr>
      <w:widowControl w:val="0"/>
      <w:autoSpaceDE w:val="0"/>
      <w:autoSpaceDN w:val="0"/>
      <w:adjustRightInd w:val="0"/>
    </w:pPr>
    <w:rPr>
      <w:rFonts w:ascii="Times New Roman" w:hAnsi="Times New Roman" w:eastAsia="宋体" w:cs="Times New Roman"/>
      <w:color w:val="000000"/>
      <w:kern w:val="0"/>
      <w:sz w:val="24"/>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Microsoft</Company>
  <Pages>19</Pages>
  <Words>1392</Words>
  <Characters>7935</Characters>
  <Lines>0</Lines>
  <Paragraphs>0</Paragraphs>
  <TotalTime>21</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我们彡</cp:lastModifiedBy>
  <cp:lastPrinted>2017-11-09T01:12:00Z</cp:lastPrinted>
  <dcterms:modified xsi:type="dcterms:W3CDTF">2024-01-08T08:49:53Z</dcterms:modified>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8E03287D66E346E6876959EFD9B42E04_12</vt:lpwstr>
  </property>
</Properties>
</file>