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新华区人社</w:t>
      </w:r>
      <w:r>
        <w:rPr>
          <w:rFonts w:hint="eastAsia" w:ascii="宋体" w:hAnsi="宋体" w:cs="宋体"/>
          <w:b/>
          <w:bCs/>
          <w:sz w:val="44"/>
          <w:szCs w:val="44"/>
        </w:rPr>
        <w:t>部门</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outlineLvl w:val="9"/>
        <w:rPr>
          <w:rFonts w:ascii="宋体" w:hAnsi="宋体" w:cs="宋体"/>
          <w:b/>
          <w:bCs/>
          <w:sz w:val="44"/>
          <w:szCs w:val="44"/>
        </w:rPr>
      </w:pPr>
      <w:r>
        <w:rPr>
          <w:rFonts w:hint="eastAsia" w:ascii="宋体" w:hAnsi="宋体" w:cs="宋体"/>
          <w:b/>
          <w:bCs/>
          <w:sz w:val="44"/>
          <w:szCs w:val="44"/>
        </w:rPr>
        <w:t>2022年度整体支出绩效自评报告</w:t>
      </w:r>
    </w:p>
    <w:p>
      <w:pPr>
        <w:keepNext w:val="0"/>
        <w:keepLines w:val="0"/>
        <w:pageBreakBefore w:val="0"/>
        <w:kinsoku/>
        <w:wordWrap/>
        <w:overflowPunct/>
        <w:topLinePunct w:val="0"/>
        <w:autoSpaceDE/>
        <w:autoSpaceDN/>
        <w:bidi w:val="0"/>
        <w:spacing w:line="560" w:lineRule="exact"/>
        <w:jc w:val="center"/>
        <w:textAlignment w:val="auto"/>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政府《关于全面落实预算绩效管理的实施意见》</w:t>
      </w:r>
      <w:r>
        <w:rPr>
          <w:rFonts w:hint="eastAsia" w:ascii="仿宋_GB2312" w:eastAsia="仿宋_GB2312"/>
          <w:sz w:val="32"/>
          <w:szCs w:val="32"/>
        </w:rPr>
        <w:t>（新华发〔2019〕9号）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新华区人社</w:t>
      </w:r>
      <w:r>
        <w:rPr>
          <w:rFonts w:hint="eastAsia" w:ascii="仿宋" w:hAnsi="仿宋" w:eastAsia="仿宋"/>
          <w:sz w:val="32"/>
          <w:szCs w:val="32"/>
        </w:rPr>
        <w:t>部门2022年整体支出情况实施了财政支出绩效自评价，形成本评价报告。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6"/>
        <w:keepNext w:val="0"/>
        <w:keepLines w:val="0"/>
        <w:pageBreakBefore w:val="0"/>
        <w:kinsoku/>
        <w:wordWrap/>
        <w:overflowPunct/>
        <w:topLinePunct w:val="0"/>
        <w:autoSpaceDE/>
        <w:autoSpaceDN/>
        <w:bidi w:val="0"/>
        <w:spacing w:line="560" w:lineRule="exact"/>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根据《新华人社职能配置、内设机构和人员编制规定》，新华人社的主要职责是</w:t>
      </w:r>
      <w:r>
        <w:rPr>
          <w:rFonts w:hint="eastAsia" w:ascii="仿宋" w:hAnsi="仿宋" w:eastAsia="仿宋" w:cs="黑体"/>
          <w:kern w:val="2"/>
          <w:sz w:val="32"/>
          <w:szCs w:val="32"/>
          <w:lang w:val="en-US" w:eastAsia="zh-CN" w:bidi="ar-SA"/>
        </w:rPr>
        <w:t>：制定全区专业技术人员管理和继续教育政策，综合管理全区职称工作；事业单位人事管理，负责人事考试和事业单位岗位设置管理；会同有关部门拟订全区企事业单位人员工资收入分配政策，建立全区企事业单位人员工资正常增长和支付保障机制，拟订全区企事业单位人员福利和离退休政策，并负责组织实施和监督检查；统筹拟订劳动、人事争议调解仲裁制度和劳动关系政策，完善劳动关系协调机制，制定消除非法使用童工政策和女工、未成年工的特殊劳动保护政策，组织实施劳动监察，协调劳动者维权工作，依法查处重大案件；综合协调局机关及所属各单位的政务、事务；负责全区企业职工养老保险工作，对全区企业职工养老保险基金进行监管；全区企事业单位职工工伤认定和劳动能力鉴定相关工作及工伤保险工作；负责全区被征地人员养老保险工作；开展人才交流政策咨询，流动人员人事档案代理，协助企业引进人才，推进高校毕业生就业推荐；</w:t>
      </w:r>
      <w:r>
        <w:rPr>
          <w:rFonts w:hint="eastAsia" w:ascii="仿宋" w:hAnsi="仿宋" w:eastAsia="仿宋"/>
          <w:sz w:val="32"/>
          <w:szCs w:val="32"/>
        </w:rPr>
        <w:t>负责对高校毕业生、就业创业政策咨询服务及各项就业创业补贴初审、呈报</w:t>
      </w:r>
      <w:r>
        <w:rPr>
          <w:rFonts w:hint="eastAsia" w:ascii="仿宋" w:hAnsi="仿宋" w:eastAsia="仿宋"/>
          <w:sz w:val="32"/>
          <w:szCs w:val="32"/>
          <w:lang w:eastAsia="zh-CN"/>
        </w:rPr>
        <w:t>；</w:t>
      </w:r>
      <w:r>
        <w:rPr>
          <w:rFonts w:hint="eastAsia" w:ascii="仿宋" w:hAnsi="仿宋" w:eastAsia="仿宋"/>
          <w:sz w:val="32"/>
          <w:szCs w:val="32"/>
        </w:rPr>
        <w:t>协助区人社充分开展就业社区的创建，落实奖补资金，对符合条件单位和人员的岗位补贴、社保补贴</w:t>
      </w:r>
      <w:r>
        <w:rPr>
          <w:rFonts w:hint="eastAsia" w:ascii="仿宋" w:hAnsi="仿宋" w:eastAsia="仿宋"/>
          <w:sz w:val="32"/>
          <w:szCs w:val="32"/>
          <w:lang w:eastAsia="zh-CN"/>
        </w:rPr>
        <w:t>；</w:t>
      </w:r>
      <w:r>
        <w:rPr>
          <w:rFonts w:hint="eastAsia" w:ascii="仿宋" w:hAnsi="仿宋" w:eastAsia="仿宋"/>
          <w:sz w:val="32"/>
          <w:szCs w:val="32"/>
        </w:rPr>
        <w:t>对符合条件、资料齐全的借款人，帮助其创业并申请发放创业担保贷款</w:t>
      </w:r>
      <w:r>
        <w:rPr>
          <w:rFonts w:hint="eastAsia" w:ascii="仿宋" w:hAnsi="仿宋" w:eastAsia="仿宋"/>
          <w:sz w:val="32"/>
          <w:szCs w:val="32"/>
          <w:lang w:eastAsia="zh-CN"/>
        </w:rPr>
        <w:t>；</w:t>
      </w:r>
      <w:r>
        <w:rPr>
          <w:rFonts w:hint="eastAsia" w:ascii="仿宋" w:hAnsi="仿宋" w:eastAsia="仿宋"/>
          <w:sz w:val="32"/>
          <w:szCs w:val="32"/>
        </w:rPr>
        <w:t>根据市下达我区的培训计划有针对性的开展培训</w:t>
      </w:r>
      <w:r>
        <w:rPr>
          <w:rFonts w:hint="eastAsia" w:ascii="仿宋" w:hAnsi="仿宋" w:eastAsia="仿宋"/>
          <w:sz w:val="32"/>
          <w:szCs w:val="32"/>
          <w:lang w:eastAsia="zh-CN"/>
        </w:rPr>
        <w:t>；</w:t>
      </w:r>
      <w:r>
        <w:rPr>
          <w:rFonts w:hint="eastAsia" w:ascii="仿宋" w:hAnsi="仿宋" w:eastAsia="仿宋"/>
          <w:sz w:val="32"/>
          <w:szCs w:val="32"/>
        </w:rPr>
        <w:t>负责流动人员人事档案基本公共服务，办理就业登记、失业登记等事宜</w:t>
      </w:r>
      <w:r>
        <w:rPr>
          <w:rFonts w:hint="eastAsia" w:ascii="仿宋" w:hAnsi="仿宋" w:eastAsia="仿宋"/>
          <w:sz w:val="32"/>
          <w:szCs w:val="32"/>
          <w:lang w:eastAsia="zh-CN"/>
        </w:rPr>
        <w:t>；</w:t>
      </w:r>
      <w:r>
        <w:rPr>
          <w:rFonts w:hint="eastAsia" w:ascii="仿宋" w:hAnsi="仿宋" w:eastAsia="仿宋"/>
          <w:sz w:val="32"/>
          <w:szCs w:val="32"/>
        </w:rPr>
        <w:t>针对高校毕业生、就业困难人员、进城务工人员、灵活就业人员召开招聘</w:t>
      </w:r>
      <w:r>
        <w:rPr>
          <w:rFonts w:ascii="仿宋" w:hAnsi="仿宋" w:eastAsia="仿宋"/>
          <w:sz w:val="32"/>
          <w:szCs w:val="32"/>
        </w:rPr>
        <w:t>企业养老扩面管理</w:t>
      </w:r>
      <w:r>
        <w:rPr>
          <w:rFonts w:hint="eastAsia" w:ascii="仿宋" w:hAnsi="仿宋" w:eastAsia="仿宋"/>
          <w:sz w:val="32"/>
          <w:szCs w:val="32"/>
          <w:lang w:eastAsia="zh-CN"/>
        </w:rPr>
        <w:t>；</w:t>
      </w:r>
      <w:r>
        <w:rPr>
          <w:rFonts w:ascii="仿宋" w:hAnsi="仿宋" w:eastAsia="仿宋"/>
          <w:sz w:val="32"/>
          <w:szCs w:val="32"/>
        </w:rPr>
        <w:t>工伤保险征缴</w:t>
      </w:r>
      <w:r>
        <w:rPr>
          <w:rFonts w:hint="eastAsia" w:ascii="仿宋" w:hAnsi="仿宋" w:eastAsia="仿宋"/>
          <w:sz w:val="32"/>
          <w:szCs w:val="32"/>
          <w:lang w:eastAsia="zh-CN"/>
        </w:rPr>
        <w:t>；</w:t>
      </w:r>
      <w:r>
        <w:rPr>
          <w:rFonts w:ascii="仿宋" w:hAnsi="仿宋" w:eastAsia="仿宋"/>
          <w:sz w:val="32"/>
          <w:szCs w:val="32"/>
        </w:rPr>
        <w:t>待遇发放</w:t>
      </w:r>
      <w:r>
        <w:rPr>
          <w:rFonts w:hint="eastAsia" w:ascii="仿宋" w:hAnsi="仿宋" w:eastAsia="仿宋"/>
          <w:sz w:val="32"/>
          <w:szCs w:val="32"/>
          <w:lang w:eastAsia="zh-CN"/>
        </w:rPr>
        <w:t>；</w:t>
      </w:r>
      <w:r>
        <w:rPr>
          <w:rFonts w:ascii="仿宋" w:hAnsi="仿宋" w:eastAsia="仿宋"/>
          <w:sz w:val="32"/>
          <w:szCs w:val="32"/>
        </w:rPr>
        <w:t>养老保险</w:t>
      </w:r>
      <w:r>
        <w:rPr>
          <w:rFonts w:hint="eastAsia" w:ascii="仿宋" w:hAnsi="仿宋" w:eastAsia="仿宋"/>
          <w:sz w:val="32"/>
          <w:szCs w:val="32"/>
        </w:rPr>
        <w:t>征缴</w:t>
      </w:r>
      <w:r>
        <w:rPr>
          <w:rFonts w:hint="eastAsia" w:ascii="仿宋" w:hAnsi="仿宋" w:eastAsia="仿宋"/>
          <w:sz w:val="32"/>
          <w:szCs w:val="32"/>
          <w:lang w:eastAsia="zh-CN"/>
        </w:rPr>
        <w:t>；</w:t>
      </w:r>
      <w:r>
        <w:rPr>
          <w:rFonts w:ascii="仿宋" w:hAnsi="仿宋" w:eastAsia="仿宋"/>
          <w:sz w:val="32"/>
          <w:szCs w:val="32"/>
        </w:rPr>
        <w:t>待遇发放</w:t>
      </w:r>
      <w:r>
        <w:rPr>
          <w:rFonts w:hint="eastAsia" w:ascii="仿宋" w:hAnsi="仿宋" w:eastAsia="仿宋"/>
          <w:sz w:val="32"/>
          <w:szCs w:val="32"/>
          <w:lang w:eastAsia="zh-CN"/>
        </w:rPr>
        <w:t>；</w:t>
      </w:r>
      <w:r>
        <w:rPr>
          <w:rFonts w:hint="eastAsia" w:ascii="仿宋" w:hAnsi="仿宋" w:eastAsia="仿宋"/>
          <w:sz w:val="32"/>
          <w:szCs w:val="32"/>
        </w:rPr>
        <w:t>失业保险征缴、待遇发放</w:t>
      </w:r>
      <w:r>
        <w:rPr>
          <w:rFonts w:hint="eastAsia" w:ascii="仿宋" w:hAnsi="仿宋" w:eastAsia="仿宋"/>
          <w:sz w:val="32"/>
          <w:szCs w:val="32"/>
          <w:lang w:eastAsia="zh-CN"/>
        </w:rPr>
        <w:t>；</w:t>
      </w:r>
      <w:r>
        <w:rPr>
          <w:rFonts w:ascii="仿宋" w:hAnsi="仿宋" w:eastAsia="仿宋"/>
          <w:sz w:val="32"/>
          <w:szCs w:val="32"/>
        </w:rPr>
        <w:t>劳务派遣人员管理</w:t>
      </w:r>
      <w:r>
        <w:rPr>
          <w:rFonts w:hint="eastAsia" w:ascii="仿宋" w:hAnsi="仿宋" w:eastAsia="仿宋"/>
          <w:sz w:val="32"/>
          <w:szCs w:val="32"/>
          <w:lang w:eastAsia="zh-CN"/>
        </w:rPr>
        <w:t>；</w:t>
      </w:r>
      <w:r>
        <w:rPr>
          <w:rFonts w:ascii="仿宋" w:hAnsi="仿宋" w:eastAsia="仿宋"/>
          <w:sz w:val="32"/>
          <w:szCs w:val="32"/>
        </w:rPr>
        <w:t>城乡居民养老保险征缴</w:t>
      </w:r>
      <w:r>
        <w:rPr>
          <w:rFonts w:hint="eastAsia" w:ascii="仿宋" w:hAnsi="仿宋" w:eastAsia="仿宋"/>
          <w:sz w:val="32"/>
          <w:szCs w:val="32"/>
          <w:lang w:eastAsia="zh-CN"/>
        </w:rPr>
        <w:t>；</w:t>
      </w:r>
      <w:r>
        <w:rPr>
          <w:rFonts w:ascii="仿宋" w:hAnsi="仿宋" w:eastAsia="仿宋"/>
          <w:sz w:val="32"/>
          <w:szCs w:val="32"/>
        </w:rPr>
        <w:t>待遇发放</w:t>
      </w:r>
      <w:r>
        <w:rPr>
          <w:rFonts w:hint="eastAsia" w:ascii="仿宋" w:hAnsi="仿宋" w:eastAsia="仿宋"/>
          <w:sz w:val="32"/>
          <w:szCs w:val="32"/>
          <w:lang w:eastAsia="zh-CN"/>
        </w:rPr>
        <w:t>；</w:t>
      </w:r>
      <w:r>
        <w:rPr>
          <w:rFonts w:ascii="仿宋" w:hAnsi="仿宋" w:eastAsia="仿宋"/>
          <w:sz w:val="32"/>
          <w:szCs w:val="32"/>
        </w:rPr>
        <w:t>机关养老收支缺口补助</w:t>
      </w:r>
      <w:r>
        <w:rPr>
          <w:rFonts w:hint="eastAsia" w:ascii="仿宋" w:hAnsi="仿宋" w:eastAsia="仿宋"/>
          <w:sz w:val="32"/>
          <w:szCs w:val="32"/>
        </w:rPr>
        <w:t>、</w:t>
      </w:r>
      <w:r>
        <w:rPr>
          <w:rFonts w:ascii="仿宋" w:hAnsi="仿宋" w:eastAsia="仿宋"/>
          <w:sz w:val="32"/>
          <w:szCs w:val="32"/>
        </w:rPr>
        <w:t>国有企业退休人员社会化管理</w:t>
      </w:r>
      <w:r>
        <w:rPr>
          <w:rFonts w:hint="eastAsia" w:ascii="仿宋" w:hAnsi="仿宋" w:eastAsia="仿宋"/>
          <w:sz w:val="32"/>
          <w:szCs w:val="32"/>
          <w:lang w:eastAsia="zh-CN"/>
        </w:rPr>
        <w:t>；</w:t>
      </w:r>
      <w:r>
        <w:rPr>
          <w:rFonts w:ascii="仿宋" w:hAnsi="仿宋" w:eastAsia="仿宋"/>
          <w:sz w:val="32"/>
          <w:szCs w:val="32"/>
        </w:rPr>
        <w:t>企业退休人员社会化管理服务</w:t>
      </w:r>
      <w:r>
        <w:rPr>
          <w:rFonts w:hint="eastAsia" w:ascii="仿宋" w:hAnsi="仿宋" w:eastAsia="仿宋"/>
          <w:sz w:val="32"/>
          <w:szCs w:val="32"/>
          <w:lang w:eastAsia="zh-CN"/>
        </w:rPr>
        <w:t>。</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color w:val="0000FF"/>
          <w:sz w:val="32"/>
          <w:szCs w:val="32"/>
        </w:rPr>
      </w:pPr>
      <w:r>
        <w:rPr>
          <w:rFonts w:hint="eastAsia" w:ascii="仿宋" w:hAnsi="仿宋" w:eastAsia="仿宋"/>
          <w:sz w:val="32"/>
          <w:szCs w:val="32"/>
          <w:lang w:val="en-US" w:eastAsia="zh-CN"/>
        </w:rPr>
        <w:t>2、人员构成情况：2022年年末人社部门实有在职人数69人。</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ascii="仿宋" w:hAnsi="仿宋" w:eastAsia="仿宋"/>
          <w:color w:val="auto"/>
          <w:sz w:val="32"/>
          <w:szCs w:val="32"/>
          <w:highlight w:val="none"/>
        </w:rPr>
      </w:pPr>
      <w:r>
        <w:rPr>
          <w:rFonts w:hint="eastAsia" w:ascii="仿宋" w:hAnsi="仿宋" w:eastAsia="仿宋"/>
          <w:sz w:val="32"/>
          <w:szCs w:val="32"/>
          <w:lang w:val="en-US" w:eastAsia="zh-CN"/>
        </w:rPr>
        <w:t>3、</w:t>
      </w:r>
      <w:r>
        <w:rPr>
          <w:rFonts w:hint="eastAsia" w:ascii="仿宋" w:hAnsi="仿宋" w:eastAsia="仿宋"/>
          <w:color w:val="auto"/>
          <w:sz w:val="32"/>
          <w:szCs w:val="32"/>
          <w:lang w:val="en-US" w:eastAsia="zh-CN"/>
        </w:rPr>
        <w:t>固定资产情况：</w:t>
      </w:r>
      <w:r>
        <w:rPr>
          <w:rFonts w:hint="eastAsia" w:ascii="仿宋" w:hAnsi="仿宋" w:eastAsia="仿宋"/>
          <w:color w:val="auto"/>
          <w:sz w:val="32"/>
          <w:szCs w:val="32"/>
        </w:rPr>
        <w:t>我</w:t>
      </w:r>
      <w:r>
        <w:rPr>
          <w:rFonts w:hint="eastAsia" w:ascii="仿宋" w:hAnsi="仿宋" w:eastAsia="仿宋"/>
          <w:color w:val="auto"/>
          <w:sz w:val="32"/>
          <w:szCs w:val="32"/>
          <w:lang w:val="en-US" w:eastAsia="zh-CN"/>
        </w:rPr>
        <w:t>部门</w:t>
      </w:r>
      <w:r>
        <w:rPr>
          <w:rFonts w:hint="eastAsia" w:ascii="仿宋" w:hAnsi="仿宋" w:eastAsia="仿宋"/>
          <w:color w:val="auto"/>
          <w:sz w:val="32"/>
          <w:szCs w:val="32"/>
        </w:rPr>
        <w:t>2022</w:t>
      </w:r>
      <w:r>
        <w:rPr>
          <w:rFonts w:ascii="仿宋" w:hAnsi="仿宋" w:eastAsia="仿宋"/>
          <w:color w:val="auto"/>
          <w:sz w:val="32"/>
          <w:szCs w:val="32"/>
        </w:rPr>
        <w:t>年末固定资产金额为</w:t>
      </w:r>
      <w:r>
        <w:rPr>
          <w:rFonts w:hint="eastAsia" w:ascii="仿宋" w:hAnsi="仿宋" w:eastAsia="仿宋"/>
          <w:color w:val="auto"/>
          <w:sz w:val="32"/>
          <w:szCs w:val="32"/>
          <w:lang w:val="en-US" w:eastAsia="zh-CN"/>
        </w:rPr>
        <w:t>833.47</w:t>
      </w:r>
      <w:r>
        <w:rPr>
          <w:rFonts w:ascii="仿宋" w:hAnsi="仿宋" w:eastAsia="仿宋"/>
          <w:color w:val="auto"/>
          <w:sz w:val="32"/>
          <w:szCs w:val="32"/>
        </w:rPr>
        <w:t>万元</w:t>
      </w:r>
      <w:r>
        <w:rPr>
          <w:rFonts w:hint="eastAsia" w:ascii="仿宋" w:hAnsi="仿宋" w:eastAsia="仿宋"/>
          <w:color w:val="auto"/>
          <w:sz w:val="32"/>
          <w:szCs w:val="32"/>
        </w:rPr>
        <w:t>；</w:t>
      </w:r>
      <w:r>
        <w:rPr>
          <w:rFonts w:hint="eastAsia" w:ascii="仿宋" w:hAnsi="仿宋" w:eastAsia="仿宋"/>
          <w:color w:val="auto"/>
          <w:sz w:val="32"/>
          <w:szCs w:val="32"/>
          <w:highlight w:val="none"/>
        </w:rPr>
        <w:t>通用设备：</w:t>
      </w:r>
      <w:r>
        <w:rPr>
          <w:rFonts w:hint="eastAsia" w:ascii="仿宋" w:hAnsi="仿宋" w:eastAsia="仿宋"/>
          <w:color w:val="auto"/>
          <w:sz w:val="32"/>
          <w:szCs w:val="32"/>
          <w:highlight w:val="none"/>
          <w:lang w:val="en-US" w:eastAsia="zh-CN"/>
        </w:rPr>
        <w:t>251.63</w:t>
      </w:r>
      <w:r>
        <w:rPr>
          <w:rFonts w:hint="eastAsia" w:ascii="仿宋" w:hAnsi="仿宋" w:eastAsia="仿宋"/>
          <w:color w:val="auto"/>
          <w:sz w:val="32"/>
          <w:szCs w:val="32"/>
          <w:highlight w:val="none"/>
        </w:rPr>
        <w:t>万元，</w:t>
      </w:r>
      <w:r>
        <w:rPr>
          <w:rFonts w:hint="eastAsia" w:ascii="仿宋" w:hAnsi="仿宋" w:eastAsia="仿宋"/>
          <w:color w:val="auto"/>
          <w:sz w:val="32"/>
          <w:szCs w:val="32"/>
        </w:rPr>
        <w:t>专用设备：0.</w:t>
      </w:r>
      <w:r>
        <w:rPr>
          <w:rFonts w:hint="eastAsia" w:ascii="仿宋" w:hAnsi="仿宋" w:eastAsia="仿宋"/>
          <w:color w:val="auto"/>
          <w:sz w:val="32"/>
          <w:szCs w:val="32"/>
          <w:lang w:val="en-US" w:eastAsia="zh-CN"/>
        </w:rPr>
        <w:t>95</w:t>
      </w:r>
      <w:r>
        <w:rPr>
          <w:rFonts w:hint="eastAsia" w:ascii="仿宋" w:hAnsi="仿宋" w:eastAsia="仿宋"/>
          <w:color w:val="auto"/>
          <w:sz w:val="32"/>
          <w:szCs w:val="32"/>
        </w:rPr>
        <w:t>万元</w:t>
      </w:r>
      <w:r>
        <w:rPr>
          <w:rFonts w:hint="eastAsia" w:ascii="仿宋" w:hAnsi="仿宋" w:eastAsia="仿宋"/>
          <w:color w:val="auto"/>
          <w:sz w:val="32"/>
          <w:szCs w:val="32"/>
          <w:highlight w:val="none"/>
          <w:lang w:val="en-US" w:eastAsia="zh-CN"/>
        </w:rPr>
        <w:t>土地、房屋及构筑物507.10万元</w:t>
      </w:r>
      <w:r>
        <w:rPr>
          <w:rFonts w:hint="eastAsia" w:ascii="仿宋" w:hAnsi="仿宋" w:eastAsia="仿宋"/>
          <w:color w:val="auto"/>
          <w:sz w:val="32"/>
          <w:szCs w:val="32"/>
          <w:highlight w:val="none"/>
        </w:rPr>
        <w:t>，家具、用具、装具及动植物：</w:t>
      </w:r>
      <w:r>
        <w:rPr>
          <w:rFonts w:hint="eastAsia" w:ascii="仿宋" w:hAnsi="仿宋" w:eastAsia="仿宋"/>
          <w:color w:val="auto"/>
          <w:sz w:val="32"/>
          <w:szCs w:val="32"/>
          <w:highlight w:val="none"/>
          <w:lang w:val="en-US" w:eastAsia="zh-CN"/>
        </w:rPr>
        <w:t>61.59万元，车辆12.2万元</w:t>
      </w:r>
      <w:r>
        <w:rPr>
          <w:rFonts w:hint="eastAsia" w:ascii="仿宋" w:hAnsi="仿宋" w:eastAsia="仿宋"/>
          <w:color w:val="auto"/>
          <w:sz w:val="32"/>
          <w:szCs w:val="32"/>
          <w:highlight w:val="none"/>
        </w:rPr>
        <w:t>。</w:t>
      </w:r>
    </w:p>
    <w:p>
      <w:pPr>
        <w:keepNext w:val="0"/>
        <w:keepLines w:val="0"/>
        <w:pageBreakBefore w:val="0"/>
        <w:kinsoku/>
        <w:wordWrap/>
        <w:overflowPunct/>
        <w:topLinePunct w:val="0"/>
        <w:autoSpaceDE/>
        <w:autoSpaceDN/>
        <w:bidi w:val="0"/>
        <w:adjustRightInd w:val="0"/>
        <w:snapToGrid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_GB2312" w:hAnsi="华文仿宋" w:eastAsia="仿宋_GB2312"/>
          <w:color w:val="333333"/>
          <w:sz w:val="32"/>
          <w:szCs w:val="32"/>
          <w:lang w:val="en-US" w:eastAsia="zh-CN"/>
        </w:rPr>
      </w:pPr>
      <w:r>
        <w:rPr>
          <w:rFonts w:hint="eastAsia" w:ascii="仿宋" w:hAnsi="仿宋" w:eastAsia="仿宋"/>
          <w:sz w:val="32"/>
          <w:szCs w:val="32"/>
          <w:lang w:val="en-US" w:eastAsia="zh-CN"/>
        </w:rPr>
        <w:t>人社部门总项目预算金额为21843.01万元，</w:t>
      </w:r>
      <w:r>
        <w:rPr>
          <w:rFonts w:hint="eastAsia" w:ascii="仿宋_GB2312" w:hAnsi="华文仿宋" w:eastAsia="仿宋_GB2312"/>
          <w:color w:val="333333"/>
          <w:sz w:val="32"/>
          <w:szCs w:val="32"/>
        </w:rPr>
        <w:t>总项目预算执行金额为</w:t>
      </w:r>
      <w:r>
        <w:rPr>
          <w:rFonts w:hint="eastAsia" w:ascii="仿宋_GB2312" w:hAnsi="华文仿宋" w:eastAsia="仿宋_GB2312"/>
          <w:color w:val="333333"/>
          <w:sz w:val="32"/>
          <w:szCs w:val="32"/>
          <w:lang w:val="en-US" w:eastAsia="zh-CN"/>
        </w:rPr>
        <w:t>35506.77万元。</w:t>
      </w:r>
    </w:p>
    <w:p>
      <w:pPr>
        <w:keepNext w:val="0"/>
        <w:keepLines w:val="0"/>
        <w:pageBreakBefore w:val="0"/>
        <w:numPr>
          <w:ilvl w:val="0"/>
          <w:numId w:val="1"/>
        </w:numPr>
        <w:kinsoku/>
        <w:wordWrap/>
        <w:overflowPunct/>
        <w:topLinePunct w:val="0"/>
        <w:autoSpaceDE/>
        <w:autoSpaceDN/>
        <w:bidi w:val="0"/>
        <w:adjustRightInd w:val="0"/>
        <w:snapToGrid w:val="0"/>
        <w:spacing w:line="560" w:lineRule="exact"/>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绩效目标：做好</w:t>
      </w:r>
      <w:r>
        <w:rPr>
          <w:rFonts w:hint="eastAsia" w:ascii="仿宋" w:hAnsi="仿宋" w:eastAsia="仿宋"/>
          <w:sz w:val="32"/>
          <w:szCs w:val="32"/>
          <w:lang w:val="en-US" w:eastAsia="zh-CN"/>
        </w:rPr>
        <w:t>我部门</w:t>
      </w:r>
      <w:r>
        <w:rPr>
          <w:rFonts w:hint="eastAsia" w:ascii="仿宋" w:hAnsi="仿宋" w:eastAsia="仿宋"/>
          <w:sz w:val="32"/>
          <w:szCs w:val="32"/>
        </w:rPr>
        <w:t>各项基础业务工作，全面完成各项工作任务和指标。</w:t>
      </w:r>
    </w:p>
    <w:p>
      <w:pPr>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r>
        <w:rPr>
          <w:rFonts w:hint="eastAsia" w:ascii="仿宋" w:hAnsi="仿宋" w:eastAsia="仿宋"/>
          <w:sz w:val="32"/>
          <w:szCs w:val="32"/>
        </w:rPr>
        <w:t>按照财政局相关要求，我中心根据自身的实际情况细化了绩效各项指标，设计了一套能够体现项目特点的绩效评价指标体系。绩效指标权重根据评价对象实际情况确定，总分设定为100分，其中产出指标40分（包含数量10分、质量10分、成本指标10分、时效指标10分）、预算执行率指标10分、效益指标40分（包含社会效益40分）、满意度指标10分。</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pStyle w:val="7"/>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华文仿宋" w:eastAsia="仿宋_GB2312"/>
          <w:color w:val="333333"/>
          <w:sz w:val="32"/>
          <w:szCs w:val="32"/>
          <w:lang w:val="en-US" w:eastAsia="zh-CN"/>
        </w:rPr>
      </w:pPr>
      <w:r>
        <w:rPr>
          <w:rFonts w:hint="eastAsia" w:ascii="仿宋" w:hAnsi="仿宋" w:eastAsia="仿宋" w:cs="黑体"/>
          <w:kern w:val="2"/>
          <w:sz w:val="32"/>
          <w:szCs w:val="32"/>
        </w:rPr>
        <w:t>我</w:t>
      </w:r>
      <w:r>
        <w:rPr>
          <w:rFonts w:hint="eastAsia" w:ascii="仿宋" w:hAnsi="仿宋" w:eastAsia="仿宋" w:cs="黑体"/>
          <w:kern w:val="2"/>
          <w:sz w:val="32"/>
          <w:szCs w:val="32"/>
          <w:lang w:val="en-US" w:eastAsia="zh-CN"/>
        </w:rPr>
        <w:t>部门</w:t>
      </w:r>
      <w:r>
        <w:rPr>
          <w:rFonts w:hint="eastAsia" w:ascii="仿宋" w:hAnsi="仿宋" w:eastAsia="仿宋" w:cs="黑体"/>
          <w:kern w:val="2"/>
          <w:sz w:val="32"/>
          <w:szCs w:val="32"/>
        </w:rPr>
        <w:t>对2022年度各项经费绩效目标自评工作高度重视。一是提高站位，充分认识搞好经费绩效自评工作的及时性、必要性和重要性，把做好经费绩效自评作为进一步提升</w:t>
      </w:r>
      <w:r>
        <w:rPr>
          <w:rFonts w:hint="eastAsia" w:ascii="仿宋" w:hAnsi="仿宋" w:eastAsia="仿宋" w:cs="黑体"/>
          <w:kern w:val="2"/>
          <w:sz w:val="32"/>
          <w:szCs w:val="32"/>
          <w:lang w:val="en-US" w:eastAsia="zh-CN"/>
        </w:rPr>
        <w:t>经费使用效率</w:t>
      </w:r>
      <w:r>
        <w:rPr>
          <w:rFonts w:hint="eastAsia" w:ascii="仿宋" w:hAnsi="仿宋" w:eastAsia="仿宋" w:cs="黑体"/>
          <w:kern w:val="2"/>
          <w:sz w:val="32"/>
          <w:szCs w:val="32"/>
        </w:rPr>
        <w:t>的有效手段。二是组织工作人员认真学习绩效自评的有关规定，增强绩效自评工作效率。三是对2022年度各项经费在预算安排、资金分配拨付、日常财务管理等方面情况进行“回头看”，未发现工作经费违规现象。</w:t>
      </w:r>
    </w:p>
    <w:p>
      <w:pPr>
        <w:keepNext w:val="0"/>
        <w:keepLines w:val="0"/>
        <w:pageBreakBefore w:val="0"/>
        <w:numPr>
          <w:ilvl w:val="0"/>
          <w:numId w:val="2"/>
        </w:numPr>
        <w:kinsoku/>
        <w:wordWrap/>
        <w:overflowPunct/>
        <w:topLinePunct w:val="0"/>
        <w:autoSpaceDE/>
        <w:autoSpaceDN/>
        <w:bidi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rPr>
        <w:t>按通知要求，我</w:t>
      </w:r>
      <w:r>
        <w:rPr>
          <w:rFonts w:hint="eastAsia" w:ascii="仿宋" w:hAnsi="仿宋" w:eastAsia="仿宋"/>
          <w:sz w:val="32"/>
          <w:szCs w:val="32"/>
          <w:lang w:val="en-US" w:eastAsia="zh-CN"/>
        </w:rPr>
        <w:t>部门</w:t>
      </w:r>
      <w:r>
        <w:rPr>
          <w:rFonts w:hint="eastAsia" w:ascii="仿宋" w:hAnsi="仿宋" w:eastAsia="仿宋"/>
          <w:sz w:val="32"/>
          <w:szCs w:val="32"/>
        </w:rPr>
        <w:t>调集相关科室，成立绩效评价小组，安排部署绩效工作，认真学习绩效管理评价相关文件，按财政局要求严格认真开展绩效目标自评工作。</w:t>
      </w:r>
    </w:p>
    <w:p>
      <w:pPr>
        <w:keepNext w:val="0"/>
        <w:keepLines w:val="0"/>
        <w:pageBreakBefore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3"/>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_GB2312" w:hAnsi="华文仿宋" w:eastAsia="仿宋_GB2312"/>
          <w:color w:val="333333"/>
          <w:sz w:val="32"/>
          <w:szCs w:val="32"/>
        </w:rPr>
      </w:pPr>
      <w:r>
        <w:rPr>
          <w:rFonts w:hint="eastAsia" w:ascii="仿宋_GB2312" w:hAnsi="华文仿宋" w:eastAsia="仿宋_GB2312"/>
          <w:color w:val="333333"/>
          <w:sz w:val="32"/>
          <w:szCs w:val="32"/>
        </w:rPr>
        <w:t>2022年度我</w:t>
      </w:r>
      <w:r>
        <w:rPr>
          <w:rFonts w:hint="eastAsia" w:ascii="仿宋_GB2312" w:hAnsi="华文仿宋" w:eastAsia="仿宋_GB2312"/>
          <w:color w:val="333333"/>
          <w:sz w:val="32"/>
          <w:szCs w:val="32"/>
          <w:lang w:val="en-US" w:eastAsia="zh-CN"/>
        </w:rPr>
        <w:t>部门</w:t>
      </w:r>
      <w:r>
        <w:rPr>
          <w:rFonts w:hint="eastAsia" w:ascii="仿宋_GB2312" w:hAnsi="华文仿宋" w:eastAsia="仿宋_GB2312"/>
          <w:color w:val="333333"/>
          <w:sz w:val="32"/>
          <w:szCs w:val="32"/>
        </w:rPr>
        <w:t>总项目预算金额为</w:t>
      </w:r>
      <w:r>
        <w:rPr>
          <w:rFonts w:hint="eastAsia" w:ascii="仿宋" w:hAnsi="仿宋" w:eastAsia="仿宋"/>
          <w:sz w:val="32"/>
          <w:szCs w:val="32"/>
          <w:lang w:val="en-US" w:eastAsia="zh-CN"/>
        </w:rPr>
        <w:t>21843.01</w:t>
      </w:r>
      <w:r>
        <w:rPr>
          <w:rFonts w:hint="eastAsia" w:ascii="仿宋_GB2312" w:hAnsi="华文仿宋" w:eastAsia="仿宋_GB2312"/>
          <w:color w:val="333333"/>
          <w:sz w:val="32"/>
          <w:szCs w:val="32"/>
        </w:rPr>
        <w:t>万元，总项目预算执行金额为</w:t>
      </w:r>
      <w:r>
        <w:rPr>
          <w:rFonts w:hint="eastAsia" w:ascii="仿宋_GB2312" w:hAnsi="华文仿宋" w:eastAsia="仿宋_GB2312"/>
          <w:color w:val="333333"/>
          <w:sz w:val="32"/>
          <w:szCs w:val="32"/>
          <w:lang w:val="en-US" w:eastAsia="zh-CN"/>
        </w:rPr>
        <w:t>35506.77</w:t>
      </w:r>
      <w:r>
        <w:rPr>
          <w:rFonts w:hint="eastAsia" w:ascii="仿宋_GB2312" w:hAnsi="华文仿宋" w:eastAsia="仿宋_GB2312"/>
          <w:color w:val="333333"/>
          <w:sz w:val="32"/>
          <w:szCs w:val="32"/>
        </w:rPr>
        <w:t>万元，总项目预算执行率为</w:t>
      </w:r>
      <w:r>
        <w:rPr>
          <w:rFonts w:hint="eastAsia" w:ascii="仿宋_GB2312" w:hAnsi="华文仿宋" w:eastAsia="仿宋_GB2312"/>
          <w:color w:val="333333"/>
          <w:sz w:val="32"/>
          <w:szCs w:val="32"/>
          <w:lang w:val="en-US" w:eastAsia="zh-CN"/>
        </w:rPr>
        <w:t>162.55</w:t>
      </w:r>
      <w:r>
        <w:rPr>
          <w:rFonts w:hint="eastAsia" w:ascii="仿宋_GB2312" w:hAnsi="华文仿宋" w:eastAsia="仿宋_GB2312"/>
          <w:color w:val="333333"/>
          <w:sz w:val="32"/>
          <w:szCs w:val="32"/>
        </w:rPr>
        <w:t>%。</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 w:eastAsia="仿宋_GB2312"/>
          <w:sz w:val="32"/>
          <w:szCs w:val="32"/>
          <w:lang w:eastAsia="zh-CN"/>
        </w:rPr>
      </w:pPr>
      <w:r>
        <w:rPr>
          <w:rFonts w:hint="eastAsia" w:ascii="仿宋_GB2312" w:hAnsi="华文仿宋" w:eastAsia="仿宋_GB2312"/>
          <w:color w:val="333333"/>
          <w:sz w:val="32"/>
          <w:szCs w:val="32"/>
        </w:rPr>
        <w:t>2022年度我</w:t>
      </w:r>
      <w:r>
        <w:rPr>
          <w:rFonts w:hint="eastAsia" w:ascii="仿宋_GB2312" w:hAnsi="华文仿宋" w:eastAsia="仿宋_GB2312"/>
          <w:color w:val="333333"/>
          <w:sz w:val="32"/>
          <w:szCs w:val="32"/>
          <w:lang w:val="en-US" w:eastAsia="zh-CN"/>
        </w:rPr>
        <w:t>部门</w:t>
      </w:r>
      <w:r>
        <w:rPr>
          <w:rFonts w:hint="eastAsia" w:ascii="仿宋_GB2312" w:hAnsi="华文仿宋" w:eastAsia="仿宋_GB2312"/>
          <w:color w:val="333333"/>
          <w:sz w:val="32"/>
          <w:szCs w:val="32"/>
        </w:rPr>
        <w:t>通过对</w:t>
      </w:r>
      <w:r>
        <w:rPr>
          <w:rFonts w:hint="eastAsia" w:ascii="仿宋_GB2312" w:hAnsi="华文仿宋" w:eastAsia="仿宋_GB2312"/>
          <w:color w:val="333333"/>
          <w:sz w:val="32"/>
          <w:szCs w:val="32"/>
          <w:lang w:val="en-US" w:eastAsia="zh-CN"/>
        </w:rPr>
        <w:t>43</w:t>
      </w:r>
      <w:r>
        <w:rPr>
          <w:rFonts w:hint="eastAsia" w:ascii="仿宋_GB2312" w:hAnsi="华文仿宋" w:eastAsia="仿宋_GB2312"/>
          <w:color w:val="333333"/>
          <w:sz w:val="32"/>
          <w:szCs w:val="32"/>
        </w:rPr>
        <w:t>个项目绩效自评结果对比倒查的绩效目标设定情况，可以发现绩效目标设定基本清晰准确，绩效指标基本全面完整、科学合理，绩效标准恰当适宜、易于评价。2022年度我</w:t>
      </w:r>
      <w:r>
        <w:rPr>
          <w:rFonts w:hint="eastAsia" w:ascii="仿宋_GB2312" w:hAnsi="华文仿宋" w:eastAsia="仿宋_GB2312"/>
          <w:color w:val="333333"/>
          <w:sz w:val="32"/>
          <w:szCs w:val="32"/>
          <w:lang w:val="en-US" w:eastAsia="zh-CN"/>
        </w:rPr>
        <w:t>部门</w:t>
      </w:r>
      <w:r>
        <w:rPr>
          <w:rFonts w:hint="eastAsia" w:ascii="仿宋_GB2312" w:hAnsi="华文仿宋" w:eastAsia="仿宋_GB2312"/>
          <w:color w:val="333333"/>
          <w:sz w:val="32"/>
          <w:szCs w:val="32"/>
        </w:rPr>
        <w:t>各项目</w:t>
      </w:r>
      <w:r>
        <w:rPr>
          <w:rFonts w:hint="eastAsia" w:ascii="仿宋" w:hAnsi="仿宋" w:eastAsia="仿宋" w:cs="仿宋"/>
          <w:sz w:val="32"/>
          <w:szCs w:val="32"/>
          <w:lang w:val="zh-CN"/>
        </w:rPr>
        <w:t>总体完成情况优秀，预期绩效目标基本完成</w:t>
      </w:r>
      <w:r>
        <w:rPr>
          <w:rFonts w:hint="eastAsia" w:ascii="仿宋_GB2312" w:hAnsi="华文仿宋" w:eastAsia="仿宋_GB2312"/>
          <w:color w:val="333333"/>
          <w:sz w:val="32"/>
          <w:szCs w:val="32"/>
        </w:rPr>
        <w:t>。2022年度我</w:t>
      </w:r>
      <w:r>
        <w:rPr>
          <w:rFonts w:hint="eastAsia" w:ascii="仿宋_GB2312" w:hAnsi="华文仿宋" w:eastAsia="仿宋_GB2312"/>
          <w:color w:val="333333"/>
          <w:sz w:val="32"/>
          <w:szCs w:val="32"/>
          <w:lang w:val="en-US" w:eastAsia="zh-CN"/>
        </w:rPr>
        <w:t>部门</w:t>
      </w:r>
      <w:r>
        <w:rPr>
          <w:rFonts w:hint="eastAsia" w:ascii="仿宋_GB2312" w:hAnsi="华文仿宋" w:eastAsia="仿宋_GB2312"/>
          <w:color w:val="333333"/>
          <w:sz w:val="32"/>
          <w:szCs w:val="32"/>
        </w:rPr>
        <w:t>预算项目中</w:t>
      </w:r>
      <w:r>
        <w:rPr>
          <w:rFonts w:hint="eastAsia" w:ascii="仿宋_GB2312" w:hAnsi="华文仿宋" w:eastAsia="仿宋_GB2312"/>
          <w:color w:val="333333"/>
          <w:sz w:val="32"/>
          <w:szCs w:val="32"/>
          <w:lang w:val="en-US" w:eastAsia="zh-CN"/>
        </w:rPr>
        <w:t>个别</w:t>
      </w:r>
      <w:r>
        <w:rPr>
          <w:rFonts w:hint="eastAsia" w:ascii="仿宋_GB2312" w:hAnsi="华文仿宋" w:eastAsia="仿宋_GB2312"/>
          <w:color w:val="333333"/>
          <w:sz w:val="32"/>
          <w:szCs w:val="32"/>
        </w:rPr>
        <w:t>项目预算执行率偏低，原因是</w:t>
      </w:r>
      <w:r>
        <w:rPr>
          <w:rFonts w:hint="eastAsia" w:ascii="仿宋_GB2312" w:hAnsi="仿宋" w:eastAsia="仿宋_GB2312"/>
          <w:sz w:val="32"/>
          <w:szCs w:val="32"/>
        </w:rPr>
        <w:t>我区创业担保贷款业务</w:t>
      </w:r>
      <w:r>
        <w:rPr>
          <w:rFonts w:hint="eastAsia" w:ascii="仿宋_GB2312" w:hAnsi="Verdana" w:eastAsia="仿宋_GB2312"/>
          <w:color w:val="363636"/>
          <w:sz w:val="32"/>
          <w:szCs w:val="32"/>
        </w:rPr>
        <w:t>由区就业服务中心负责对贷款申请予以初审，借款人向市担保中心和经办银行提出担保、贷款申请；市担保中心、经办银行对借款人进行调查、审核，为借款人担保并签订反担保协议。创业担保贷款基金及对当地金融网点奖励由市担保中心安排。</w:t>
      </w:r>
      <w:r>
        <w:rPr>
          <w:rFonts w:hint="eastAsia" w:ascii="仿宋_GB2312" w:hAnsi="仿宋" w:eastAsia="仿宋_GB2312"/>
          <w:sz w:val="32"/>
          <w:szCs w:val="32"/>
        </w:rPr>
        <w:t>创业担保贷款政策，贷款人个人需负担</w:t>
      </w:r>
      <w:r>
        <w:rPr>
          <w:rFonts w:hint="eastAsia" w:ascii="仿宋_GB2312" w:hAnsi="仿宋" w:eastAsia="仿宋_GB2312"/>
          <w:sz w:val="32"/>
          <w:szCs w:val="32"/>
          <w:lang w:val="en-US" w:eastAsia="zh-CN"/>
        </w:rPr>
        <w:t>的</w:t>
      </w:r>
      <w:r>
        <w:rPr>
          <w:rFonts w:hint="eastAsia" w:ascii="仿宋_GB2312" w:hAnsi="仿宋" w:eastAsia="仿宋_GB2312"/>
          <w:sz w:val="32"/>
          <w:szCs w:val="32"/>
        </w:rPr>
        <w:t>贷款利息，与银行正常商业贷款利息相比政策上的优惠力度不够；加上受疫情影响创业意愿不高，目前创业担保贷款业务难以扩大规模</w:t>
      </w:r>
      <w:r>
        <w:rPr>
          <w:rFonts w:hint="eastAsia" w:ascii="仿宋_GB2312" w:hAnsi="仿宋" w:eastAsia="仿宋_GB2312"/>
          <w:sz w:val="32"/>
          <w:szCs w:val="32"/>
          <w:lang w:eastAsia="zh-CN"/>
        </w:rPr>
        <w:t>。</w:t>
      </w:r>
      <w:r>
        <w:rPr>
          <w:rFonts w:hint="eastAsia" w:ascii="仿宋_GB2312" w:hAnsi="华文仿宋" w:eastAsia="仿宋_GB2312"/>
          <w:color w:val="333333"/>
          <w:sz w:val="32"/>
          <w:szCs w:val="32"/>
        </w:rPr>
        <w:t>养老保险扩面经费项目执行率为40.23%，原因是受2022年度新冠疫情蔓延影响，进社区实地宣传、宣传资料发放等扩面相关工作受限制</w:t>
      </w:r>
      <w:r>
        <w:rPr>
          <w:rFonts w:hint="eastAsia" w:ascii="仿宋_GB2312" w:hAnsi="华文仿宋" w:eastAsia="仿宋_GB2312"/>
          <w:color w:val="333333"/>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w:t>
      </w:r>
    </w:p>
    <w:p>
      <w:pPr>
        <w:keepNext w:val="0"/>
        <w:keepLines w:val="0"/>
        <w:pageBreakBefore w:val="0"/>
        <w:kinsoku/>
        <w:wordWrap/>
        <w:overflowPunct/>
        <w:topLinePunct w:val="0"/>
        <w:autoSpaceDE/>
        <w:autoSpaceDN/>
        <w:bidi w:val="0"/>
        <w:spacing w:line="560" w:lineRule="exact"/>
        <w:ind w:firstLine="56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石家庄市新华区</w:t>
      </w:r>
      <w:r>
        <w:rPr>
          <w:rFonts w:hint="eastAsia" w:ascii="仿宋_GB2312" w:hAnsi="仿宋_GB2312" w:eastAsia="仿宋_GB2312" w:cs="仿宋_GB2312"/>
          <w:sz w:val="32"/>
          <w:szCs w:val="32"/>
          <w:lang w:val="en-US" w:eastAsia="zh-CN"/>
        </w:rPr>
        <w:t>人力资源和社会保障部门</w:t>
      </w:r>
      <w:r>
        <w:rPr>
          <w:rFonts w:hint="eastAsia" w:ascii="仿宋_GB2312" w:hAnsi="仿宋_GB2312" w:eastAsia="仿宋_GB2312" w:cs="仿宋_GB2312"/>
          <w:sz w:val="32"/>
          <w:szCs w:val="32"/>
        </w:rPr>
        <w:t>绩效目标评价小组</w:t>
      </w:r>
    </w:p>
    <w:p>
      <w:pPr>
        <w:keepNext w:val="0"/>
        <w:keepLines w:val="0"/>
        <w:pageBreakBefore w:val="0"/>
        <w:kinsoku/>
        <w:wordWrap/>
        <w:overflowPunct/>
        <w:topLinePunct w:val="0"/>
        <w:autoSpaceDE/>
        <w:autoSpaceDN/>
        <w:bidi w:val="0"/>
        <w:spacing w:line="560" w:lineRule="exact"/>
        <w:ind w:firstLine="56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长：赵  鹏  人社局局长、党组书记</w:t>
      </w:r>
    </w:p>
    <w:p>
      <w:pPr>
        <w:keepNext w:val="0"/>
        <w:keepLines w:val="0"/>
        <w:pageBreakBefore w:val="0"/>
        <w:kinsoku/>
        <w:wordWrap/>
        <w:overflowPunct/>
        <w:topLinePunct w:val="0"/>
        <w:autoSpaceDE/>
        <w:autoSpaceDN/>
        <w:bidi w:val="0"/>
        <w:spacing w:line="560" w:lineRule="exact"/>
        <w:ind w:firstLine="56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副组长：王艳杰  人社局副局长、人才中心主任、党组成员</w:t>
      </w:r>
    </w:p>
    <w:p>
      <w:pPr>
        <w:keepNext w:val="0"/>
        <w:keepLines w:val="0"/>
        <w:pageBreakBefore w:val="0"/>
        <w:kinsoku/>
        <w:wordWrap/>
        <w:overflowPunct/>
        <w:topLinePunct w:val="0"/>
        <w:autoSpaceDE/>
        <w:autoSpaceDN/>
        <w:bidi w:val="0"/>
        <w:spacing w:line="560" w:lineRule="exact"/>
        <w:ind w:firstLine="56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田丽卓  人社局副局长、党组成员</w:t>
      </w:r>
    </w:p>
    <w:p>
      <w:pPr>
        <w:keepNext w:val="0"/>
        <w:keepLines w:val="0"/>
        <w:pageBreakBefore w:val="0"/>
        <w:kinsoku/>
        <w:wordWrap/>
        <w:overflowPunct/>
        <w:topLinePunct w:val="0"/>
        <w:autoSpaceDE/>
        <w:autoSpaceDN/>
        <w:bidi w:val="0"/>
        <w:spacing w:line="560" w:lineRule="exact"/>
        <w:ind w:firstLine="1920" w:firstLineChars="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陈思婉  就业服务中心主任</w:t>
      </w:r>
    </w:p>
    <w:p>
      <w:pPr>
        <w:keepNext w:val="0"/>
        <w:keepLines w:val="0"/>
        <w:pageBreakBefore w:val="0"/>
        <w:kinsoku/>
        <w:wordWrap/>
        <w:overflowPunct/>
        <w:topLinePunct w:val="0"/>
        <w:autoSpaceDE/>
        <w:autoSpaceDN/>
        <w:bidi w:val="0"/>
        <w:spacing w:line="560" w:lineRule="exact"/>
        <w:ind w:firstLine="1808" w:firstLineChars="565"/>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徐朝霞  社会保险中心主任</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黑体"/>
          <w:b w:val="0"/>
          <w:bCs w:val="0"/>
          <w:sz w:val="32"/>
          <w:szCs w:val="32"/>
          <w:lang w:val="en-US" w:eastAsia="zh-CN"/>
        </w:rPr>
      </w:pPr>
      <w:r>
        <w:rPr>
          <w:rFonts w:hint="eastAsia" w:ascii="仿宋_GB2312" w:hAnsi="仿宋_GB2312" w:eastAsia="仿宋_GB2312" w:cs="仿宋_GB2312"/>
          <w:sz w:val="32"/>
          <w:szCs w:val="32"/>
          <w:lang w:val="en-US" w:eastAsia="zh-CN"/>
        </w:rPr>
        <w:t>组  员：</w:t>
      </w:r>
      <w:r>
        <w:rPr>
          <w:rFonts w:hint="eastAsia" w:ascii="仿宋_GB2312" w:hAnsi="仿宋_GB2312" w:eastAsia="仿宋_GB2312" w:cs="黑体"/>
          <w:b w:val="0"/>
          <w:bCs w:val="0"/>
          <w:sz w:val="32"/>
          <w:szCs w:val="32"/>
          <w:lang w:val="en-US" w:eastAsia="zh-CN"/>
        </w:rPr>
        <w:t>张建伟  就业服务中心副主任</w:t>
      </w:r>
    </w:p>
    <w:p>
      <w:pPr>
        <w:keepNext w:val="0"/>
        <w:keepLines w:val="0"/>
        <w:pageBreakBefore w:val="0"/>
        <w:kinsoku/>
        <w:wordWrap/>
        <w:overflowPunct/>
        <w:topLinePunct w:val="0"/>
        <w:autoSpaceDE/>
        <w:autoSpaceDN/>
        <w:bidi w:val="0"/>
        <w:spacing w:line="560" w:lineRule="exact"/>
        <w:ind w:firstLine="1920" w:firstLineChars="6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刘敬聚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社会保险中心主管领导</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黑体"/>
          <w:b w:val="0"/>
          <w:bCs w:val="0"/>
          <w:sz w:val="32"/>
          <w:szCs w:val="32"/>
          <w:lang w:val="en-US" w:eastAsia="zh-CN"/>
        </w:rPr>
      </w:pPr>
      <w:r>
        <w:rPr>
          <w:rFonts w:hint="eastAsia" w:ascii="仿宋_GB2312" w:hAnsi="仿宋_GB2312" w:eastAsia="仿宋_GB2312" w:cs="黑体"/>
          <w:b w:val="0"/>
          <w:bCs w:val="0"/>
          <w:sz w:val="32"/>
          <w:szCs w:val="32"/>
          <w:lang w:val="en-US" w:eastAsia="zh-CN"/>
        </w:rPr>
        <w:t xml:space="preserve">        杨  浩  人社局办公室负责人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2" w:rightChars="0" w:firstLine="1920" w:firstLineChars="600"/>
        <w:textAlignment w:val="auto"/>
        <w:rPr>
          <w:rFonts w:hint="eastAsia" w:ascii="仿宋_GB2312" w:hAnsi="仿宋_GB2312" w:eastAsia="仿宋_GB2312" w:cs="黑体"/>
          <w:b w:val="0"/>
          <w:bCs w:val="0"/>
          <w:sz w:val="32"/>
          <w:szCs w:val="32"/>
          <w:lang w:val="en-US" w:eastAsia="zh-CN"/>
        </w:rPr>
      </w:pPr>
      <w:r>
        <w:rPr>
          <w:rFonts w:hint="eastAsia" w:ascii="仿宋_GB2312" w:hAnsi="仿宋_GB2312" w:eastAsia="仿宋_GB2312" w:cs="黑体"/>
          <w:b w:val="0"/>
          <w:bCs w:val="0"/>
          <w:sz w:val="32"/>
          <w:szCs w:val="32"/>
          <w:lang w:val="en-US" w:eastAsia="zh-CN"/>
        </w:rPr>
        <w:t>刘  琰  就业服务中心创业担保贷款管理股股长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68" w:right="-2" w:rightChars="0" w:firstLine="640" w:firstLineChars="200"/>
        <w:textAlignment w:val="auto"/>
        <w:rPr>
          <w:rFonts w:hint="eastAsia" w:ascii="仿宋_GB2312" w:hAnsi="仿宋_GB2312" w:eastAsia="仿宋_GB2312" w:cs="黑体"/>
          <w:b w:val="0"/>
          <w:bCs w:val="0"/>
          <w:sz w:val="32"/>
          <w:szCs w:val="32"/>
          <w:lang w:val="en-US" w:eastAsia="zh-CN"/>
        </w:rPr>
      </w:pPr>
      <w:r>
        <w:rPr>
          <w:rFonts w:hint="eastAsia" w:ascii="仿宋_GB2312" w:hAnsi="仿宋_GB2312" w:eastAsia="仿宋_GB2312" w:cs="黑体"/>
          <w:b w:val="0"/>
          <w:bCs w:val="0"/>
          <w:sz w:val="32"/>
          <w:szCs w:val="32"/>
          <w:lang w:val="en-US" w:eastAsia="zh-CN"/>
        </w:rPr>
        <w:t xml:space="preserve">       席  慧  就业服务中心财务科科员</w:t>
      </w:r>
    </w:p>
    <w:p>
      <w:pPr>
        <w:keepNext w:val="0"/>
        <w:keepLines w:val="0"/>
        <w:pageBreakBefore w:val="0"/>
        <w:kinsoku/>
        <w:wordWrap/>
        <w:overflowPunct/>
        <w:topLinePunct w:val="0"/>
        <w:autoSpaceDE/>
        <w:autoSpaceDN/>
        <w:bidi w:val="0"/>
        <w:spacing w:line="560" w:lineRule="exact"/>
        <w:ind w:firstLine="1920" w:firstLineChars="6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张笑丽  </w:t>
      </w:r>
      <w:r>
        <w:rPr>
          <w:rFonts w:hint="eastAsia" w:ascii="仿宋_GB2312" w:hAnsi="仿宋_GB2312" w:eastAsia="仿宋_GB2312" w:cs="仿宋_GB2312"/>
          <w:sz w:val="32"/>
          <w:szCs w:val="32"/>
          <w:lang w:val="en-US" w:eastAsia="zh-CN"/>
        </w:rPr>
        <w:t>社会保险中心</w:t>
      </w:r>
      <w:r>
        <w:rPr>
          <w:rFonts w:hint="eastAsia" w:ascii="仿宋_GB2312" w:hAnsi="仿宋_GB2312" w:eastAsia="仿宋_GB2312" w:cs="仿宋_GB2312"/>
          <w:sz w:val="32"/>
          <w:szCs w:val="32"/>
        </w:rPr>
        <w:t>办公室主任</w:t>
      </w:r>
    </w:p>
    <w:p>
      <w:pPr>
        <w:keepNext w:val="0"/>
        <w:keepLines w:val="0"/>
        <w:pageBreakBefore w:val="0"/>
        <w:kinsoku/>
        <w:wordWrap/>
        <w:overflowPunct/>
        <w:topLinePunct w:val="0"/>
        <w:autoSpaceDE/>
        <w:autoSpaceDN/>
        <w:bidi w:val="0"/>
        <w:spacing w:line="560" w:lineRule="exact"/>
        <w:ind w:firstLine="1920" w:firstLineChars="6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白丽莉  </w:t>
      </w:r>
      <w:r>
        <w:rPr>
          <w:rFonts w:hint="eastAsia" w:ascii="仿宋_GB2312" w:hAnsi="仿宋_GB2312" w:eastAsia="仿宋_GB2312" w:cs="仿宋_GB2312"/>
          <w:sz w:val="32"/>
          <w:szCs w:val="32"/>
          <w:lang w:val="en-US" w:eastAsia="zh-CN"/>
        </w:rPr>
        <w:t xml:space="preserve"> 社会保险中心</w:t>
      </w:r>
      <w:r>
        <w:rPr>
          <w:rFonts w:hint="eastAsia" w:ascii="仿宋_GB2312" w:hAnsi="仿宋_GB2312" w:eastAsia="仿宋_GB2312" w:cs="仿宋_GB2312"/>
          <w:sz w:val="32"/>
          <w:szCs w:val="32"/>
        </w:rPr>
        <w:t>基金财务科科长</w:t>
      </w:r>
    </w:p>
    <w:p>
      <w:pPr>
        <w:keepNext w:val="0"/>
        <w:keepLines w:val="0"/>
        <w:pageBreakBefore w:val="0"/>
        <w:kinsoku/>
        <w:wordWrap/>
        <w:overflowPunct/>
        <w:topLinePunct w:val="0"/>
        <w:autoSpaceDE/>
        <w:autoSpaceDN/>
        <w:bidi w:val="0"/>
        <w:spacing w:line="560" w:lineRule="exact"/>
        <w:ind w:firstLine="1920" w:firstLineChars="600"/>
        <w:textAlignment w:val="auto"/>
        <w:rPr>
          <w:rFonts w:hint="eastAsia" w:ascii="仿宋_GB2312" w:hAnsi="华文仿宋" w:eastAsia="仿宋_GB2312"/>
          <w:color w:val="333333"/>
          <w:sz w:val="32"/>
          <w:szCs w:val="32"/>
          <w:lang w:val="en-US" w:eastAsia="zh-CN"/>
        </w:rPr>
        <w:sectPr>
          <w:pgSz w:w="11900" w:h="16840"/>
          <w:pgMar w:top="2098" w:right="1474" w:bottom="1984" w:left="1587" w:header="720" w:footer="720" w:gutter="0"/>
          <w:pgNumType w:start="1"/>
          <w:cols w:space="0" w:num="1"/>
          <w:rtlGutter w:val="0"/>
          <w:docGrid w:linePitch="0" w:charSpace="0"/>
        </w:sectPr>
      </w:pPr>
      <w:r>
        <w:rPr>
          <w:rFonts w:hint="eastAsia" w:ascii="仿宋_GB2312" w:hAnsi="仿宋_GB2312" w:eastAsia="仿宋_GB2312" w:cs="仿宋_GB2312"/>
          <w:sz w:val="32"/>
          <w:szCs w:val="32"/>
        </w:rPr>
        <w:t>吴</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健   </w:t>
      </w:r>
      <w:r>
        <w:rPr>
          <w:rFonts w:hint="eastAsia" w:ascii="仿宋_GB2312" w:hAnsi="仿宋_GB2312" w:eastAsia="仿宋_GB2312" w:cs="仿宋_GB2312"/>
          <w:sz w:val="32"/>
          <w:szCs w:val="32"/>
          <w:lang w:val="en-US" w:eastAsia="zh-CN"/>
        </w:rPr>
        <w:t>社会保险中心</w:t>
      </w:r>
      <w:r>
        <w:rPr>
          <w:rFonts w:hint="eastAsia" w:ascii="仿宋_GB2312" w:hAnsi="仿宋_GB2312" w:eastAsia="仿宋_GB2312" w:cs="仿宋_GB2312"/>
          <w:sz w:val="32"/>
          <w:szCs w:val="32"/>
        </w:rPr>
        <w:t>登记和个账科科长</w:t>
      </w:r>
    </w:p>
    <w:p>
      <w:pPr>
        <w:spacing w:line="560" w:lineRule="exact"/>
        <w:rPr>
          <w:rFonts w:ascii="仿宋_GB2312" w:hAnsi="仿宋_GB2312" w:eastAsia="仿宋_GB2312" w:cs="仿宋_GB2312"/>
          <w:sz w:val="32"/>
          <w:szCs w:val="32"/>
        </w:rPr>
      </w:pPr>
      <w:r>
        <w:rPr>
          <w:rFonts w:hint="eastAsia" w:ascii="黑体" w:hAnsi="黑体" w:eastAsia="黑体"/>
          <w:sz w:val="32"/>
          <w:szCs w:val="32"/>
        </w:rPr>
        <w:t xml:space="preserve">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Chars="68" w:right="-2" w:rightChars="0" w:firstLine="640" w:firstLineChars="200"/>
        <w:textAlignment w:val="auto"/>
        <w:rPr>
          <w:rFonts w:hint="eastAsia" w:ascii="仿宋_GB2312" w:hAnsi="仿宋_GB2312" w:eastAsia="仿宋_GB2312" w:cs="黑体"/>
          <w:b w:val="0"/>
          <w:bCs w:val="0"/>
          <w:sz w:val="32"/>
          <w:szCs w:val="32"/>
          <w:lang w:val="en-US" w:eastAsia="zh-CN"/>
        </w:rPr>
      </w:pPr>
    </w:p>
    <w:p>
      <w:pPr>
        <w:spacing w:line="560" w:lineRule="exact"/>
        <w:rPr>
          <w:rFonts w:hint="default" w:ascii="仿宋_GB2312" w:hAnsi="仿宋_GB2312" w:eastAsia="仿宋_GB2312" w:cs="仿宋_GB2312"/>
          <w:sz w:val="32"/>
          <w:szCs w:val="32"/>
          <w:lang w:val="en-US" w:eastAsia="zh-CN"/>
        </w:rPr>
      </w:pPr>
    </w:p>
    <w:p>
      <w:pPr>
        <w:spacing w:line="560" w:lineRule="exact"/>
        <w:rPr>
          <w:rFonts w:hint="eastAsia" w:ascii="仿宋" w:hAnsi="仿宋" w:eastAsia="仿宋"/>
          <w:lang w:val="en-US" w:eastAsia="zh-CN"/>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D2FA6B"/>
    <w:multiLevelType w:val="singleLevel"/>
    <w:tmpl w:val="E2D2FA6B"/>
    <w:lvl w:ilvl="0" w:tentative="0">
      <w:start w:val="3"/>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Q2ZWExMDIwMTAyNTlkY2I3MDQ0MGE2NzkwYzQ5NG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6755183"/>
    <w:rsid w:val="37387040"/>
    <w:rsid w:val="3B625C0A"/>
    <w:rsid w:val="3BB047A8"/>
    <w:rsid w:val="3CEE1963"/>
    <w:rsid w:val="45847640"/>
    <w:rsid w:val="4C1B755A"/>
    <w:rsid w:val="4C9C27FE"/>
    <w:rsid w:val="4E1876A7"/>
    <w:rsid w:val="512260B4"/>
    <w:rsid w:val="52BD6ACB"/>
    <w:rsid w:val="55537534"/>
    <w:rsid w:val="561A74F1"/>
    <w:rsid w:val="584D344F"/>
    <w:rsid w:val="597244E8"/>
    <w:rsid w:val="59AA682C"/>
    <w:rsid w:val="5EB71C30"/>
    <w:rsid w:val="65703081"/>
    <w:rsid w:val="66AF0CE5"/>
    <w:rsid w:val="6AC537CF"/>
    <w:rsid w:val="6D552BC0"/>
    <w:rsid w:val="6E5B14A6"/>
    <w:rsid w:val="711B255E"/>
    <w:rsid w:val="75DE4FBD"/>
    <w:rsid w:val="7BB51E06"/>
    <w:rsid w:val="7C387F7C"/>
    <w:rsid w:val="7DEB5D9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p0"/>
    <w:basedOn w:val="1"/>
    <w:qFormat/>
    <w:uiPriority w:val="0"/>
    <w:pPr>
      <w:widowControl/>
    </w:pPr>
    <w:rPr>
      <w:rFonts w:ascii="Times New Roman" w:hAnsi="Times New Roman" w:cs="Times New Roman"/>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2346</Words>
  <Characters>2467</Characters>
  <Lines>4</Lines>
  <Paragraphs>1</Paragraphs>
  <TotalTime>9</TotalTime>
  <ScaleCrop>false</ScaleCrop>
  <LinksUpToDate>false</LinksUpToDate>
  <CharactersWithSpaces>2545</CharactersWithSpaces>
  <Application>WPS Office_11.1.0.13012_F1E327BC-269C-435d-A152-05C5408002CA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123</cp:lastModifiedBy>
  <cp:lastPrinted>2022-01-19T07:24:00Z</cp:lastPrinted>
  <dcterms:modified xsi:type="dcterms:W3CDTF">2023-12-13T11:20:27Z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2052-11.1.0.13012</vt:lpwstr>
  </property>
  <property fmtid="{D5CDD505-2E9C-101B-9397-08002B2CF9AE}" pid="3" name="ICV">
    <vt:lpwstr>C6425C8529F74BDEB351DB678548153F</vt:lpwstr>
  </property>
</Properties>
</file>