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default"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rPr>
      </w:pPr>
      <w:r>
        <w:rPr>
          <w:rFonts w:hint="eastAsia" w:ascii="宋体" w:hAnsi="宋体" w:cs="宋体"/>
          <w:b/>
          <w:bCs/>
          <w:sz w:val="44"/>
          <w:szCs w:val="44"/>
          <w:lang w:val="en-US" w:eastAsia="zh-CN"/>
        </w:rPr>
        <w:t>新华区发展和改革局</w:t>
      </w:r>
      <w:r>
        <w:rPr>
          <w:rFonts w:hint="eastAsia" w:ascii="宋体" w:hAnsi="宋体" w:cs="宋体"/>
          <w:b/>
          <w:bCs/>
          <w:sz w:val="44"/>
          <w:szCs w:val="44"/>
        </w:rPr>
        <w:t>部门</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贯彻落实市委市政府《关于全面落实预算绩效管理的实施意见》（石发﹝2019﹞</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号）文件精神，遵循“科学性、规范性、客观性和公正性”的原则，对</w:t>
      </w:r>
      <w:r>
        <w:rPr>
          <w:rFonts w:hint="eastAsia" w:ascii="仿宋_GB2312" w:hAnsi="仿宋_GB2312" w:eastAsia="仿宋_GB2312" w:cs="仿宋_GB2312"/>
          <w:sz w:val="32"/>
          <w:szCs w:val="32"/>
          <w:lang w:val="en-US" w:eastAsia="zh-CN"/>
        </w:rPr>
        <w:t>发改局</w:t>
      </w:r>
      <w:r>
        <w:rPr>
          <w:rFonts w:hint="eastAsia" w:ascii="仿宋_GB2312" w:hAnsi="仿宋_GB2312" w:eastAsia="仿宋_GB2312" w:cs="仿宋_GB2312"/>
          <w:sz w:val="32"/>
          <w:szCs w:val="32"/>
        </w:rPr>
        <w:t>部门202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年整体支出情况实施了财政支出绩效自评价，形成本评价报告。</w:t>
      </w:r>
    </w:p>
    <w:p>
      <w:pPr>
        <w:adjustRightInd w:val="0"/>
        <w:snapToGrid w:val="0"/>
        <w:spacing w:line="560" w:lineRule="exact"/>
        <w:rPr>
          <w:rFonts w:hint="eastAsia" w:ascii="仿宋_GB2312" w:hAnsi="仿宋_GB2312" w:eastAsia="仿宋_GB2312" w:cs="仿宋_GB2312"/>
          <w:b/>
          <w:bCs/>
          <w:sz w:val="32"/>
          <w:szCs w:val="36"/>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b/>
          <w:bCs/>
          <w:sz w:val="32"/>
          <w:szCs w:val="32"/>
        </w:rPr>
        <w:t>一、部门</w:t>
      </w:r>
      <w:r>
        <w:rPr>
          <w:rFonts w:hint="eastAsia" w:ascii="仿宋_GB2312" w:hAnsi="仿宋_GB2312" w:eastAsia="仿宋_GB2312" w:cs="仿宋_GB2312"/>
          <w:b/>
          <w:bCs/>
          <w:sz w:val="32"/>
          <w:szCs w:val="36"/>
        </w:rPr>
        <w:t>基本情况</w:t>
      </w:r>
    </w:p>
    <w:p>
      <w:pPr>
        <w:adjustRightInd w:val="0"/>
        <w:snapToGrid w:val="0"/>
        <w:spacing w:line="560" w:lineRule="exact"/>
        <w:ind w:firstLine="643" w:firstLineChars="200"/>
        <w:rPr>
          <w:rFonts w:hint="eastAsia" w:ascii="仿宋_GB2312" w:hAnsi="仿宋_GB2312" w:eastAsia="仿宋_GB2312" w:cs="仿宋_GB2312"/>
          <w:bCs/>
          <w:sz w:val="32"/>
          <w:szCs w:val="32"/>
        </w:rPr>
      </w:pPr>
      <w:r>
        <w:rPr>
          <w:rFonts w:hint="eastAsia" w:ascii="仿宋_GB2312" w:hAnsi="仿宋_GB2312" w:eastAsia="仿宋_GB2312" w:cs="仿宋_GB2312"/>
          <w:b/>
          <w:bCs w:val="0"/>
          <w:sz w:val="32"/>
          <w:szCs w:val="32"/>
        </w:rPr>
        <w:t>（一）部门概况</w:t>
      </w:r>
    </w:p>
    <w:p>
      <w:pPr>
        <w:ind w:firstLine="640" w:firstLineChars="200"/>
        <w:rPr>
          <w:rFonts w:hint="eastAsia" w:ascii="仿宋_GB2312" w:hAnsi="仿宋_GB2312" w:eastAsia="仿宋_GB2312" w:cs="仿宋_GB2312"/>
          <w:sz w:val="32"/>
          <w:szCs w:val="32"/>
          <w:u w:val="none" w:color="auto"/>
          <w:lang w:eastAsia="zh-CN"/>
        </w:rPr>
      </w:pPr>
      <w:r>
        <w:rPr>
          <w:rFonts w:hint="eastAsia" w:ascii="仿宋_GB2312" w:hAnsi="仿宋_GB2312" w:eastAsia="仿宋_GB2312" w:cs="仿宋_GB2312"/>
          <w:sz w:val="32"/>
          <w:szCs w:val="32"/>
          <w:u w:val="none" w:color="auto"/>
          <w:lang w:eastAsia="zh-CN"/>
        </w:rPr>
        <w:t>区发改局是全区经济工作牵头抓总的综合管理部门，上级部门为市发改委、市工信局、市国资委、市粮食和物资储备局、市国防动员办公室（人防办），主要承担我区经济运行监测分析、发展规划、产业结构调整、项目协调推进、服务业发展、高新技术产业、京津冀协同发展、粮食物资储备、工业信息化、能源管理、国有企业保值增值等方面职能。</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u w:val="none" w:color="auto"/>
          <w:lang w:eastAsia="zh-CN"/>
        </w:rPr>
        <w:t>全局共有行政编制</w:t>
      </w:r>
      <w:r>
        <w:rPr>
          <w:rFonts w:hint="eastAsia" w:ascii="仿宋_GB2312" w:hAnsi="仿宋_GB2312" w:eastAsia="仿宋_GB2312" w:cs="仿宋_GB2312"/>
          <w:sz w:val="32"/>
          <w:szCs w:val="32"/>
          <w:u w:val="none" w:color="auto"/>
          <w:lang w:val="en-US" w:eastAsia="zh-CN"/>
        </w:rPr>
        <w:t>11</w:t>
      </w:r>
      <w:r>
        <w:rPr>
          <w:rFonts w:hint="eastAsia" w:ascii="仿宋_GB2312" w:hAnsi="仿宋_GB2312" w:eastAsia="仿宋_GB2312" w:cs="仿宋_GB2312"/>
          <w:sz w:val="32"/>
          <w:szCs w:val="32"/>
          <w:u w:val="none" w:color="auto"/>
          <w:lang w:eastAsia="zh-CN"/>
        </w:rPr>
        <w:t>个，实有行政编制人员1</w:t>
      </w:r>
      <w:r>
        <w:rPr>
          <w:rFonts w:hint="eastAsia" w:ascii="仿宋_GB2312" w:hAnsi="仿宋_GB2312" w:eastAsia="仿宋_GB2312" w:cs="仿宋_GB2312"/>
          <w:sz w:val="32"/>
          <w:szCs w:val="32"/>
          <w:u w:val="none" w:color="auto"/>
          <w:lang w:val="en-US" w:eastAsia="zh-CN"/>
        </w:rPr>
        <w:t>0</w:t>
      </w:r>
      <w:r>
        <w:rPr>
          <w:rFonts w:hint="eastAsia" w:ascii="仿宋_GB2312" w:hAnsi="仿宋_GB2312" w:eastAsia="仿宋_GB2312" w:cs="仿宋_GB2312"/>
          <w:sz w:val="32"/>
          <w:szCs w:val="32"/>
          <w:u w:val="none" w:color="auto"/>
          <w:lang w:eastAsia="zh-CN"/>
        </w:rPr>
        <w:t>人，机关工勤人员2人，事业编制8个，实有事业编制人员8人，劳务派遣人员7人。</w:t>
      </w:r>
    </w:p>
    <w:p>
      <w:pPr>
        <w:numPr>
          <w:ilvl w:val="0"/>
          <w:numId w:val="1"/>
        </w:numPr>
        <w:adjustRightInd w:val="0"/>
        <w:snapToGrid w:val="0"/>
        <w:spacing w:line="560" w:lineRule="exact"/>
        <w:ind w:firstLine="643" w:firstLineChars="200"/>
        <w:rPr>
          <w:rFonts w:hint="eastAsia" w:ascii="仿宋_GB2312" w:hAnsi="仿宋_GB2312" w:eastAsia="仿宋_GB2312" w:cs="仿宋_GB2312"/>
          <w:b/>
          <w:bCs w:val="0"/>
          <w:sz w:val="32"/>
          <w:szCs w:val="32"/>
        </w:rPr>
      </w:pPr>
      <w:r>
        <w:rPr>
          <w:rFonts w:hint="eastAsia" w:ascii="仿宋_GB2312" w:hAnsi="仿宋_GB2312" w:eastAsia="仿宋_GB2312" w:cs="仿宋_GB2312"/>
          <w:b/>
          <w:bCs w:val="0"/>
          <w:sz w:val="32"/>
          <w:szCs w:val="32"/>
        </w:rPr>
        <w:t>部门收支预决算情况</w:t>
      </w:r>
    </w:p>
    <w:p>
      <w:pPr>
        <w:numPr>
          <w:ilvl w:val="0"/>
          <w:numId w:val="0"/>
        </w:numPr>
        <w:adjustRightInd w:val="0"/>
        <w:snapToGrid w:val="0"/>
        <w:spacing w:line="560" w:lineRule="exact"/>
        <w:ind w:firstLine="640" w:firstLineChars="200"/>
        <w:jc w:val="left"/>
        <w:rPr>
          <w:rFonts w:hint="eastAsia" w:ascii="仿宋_GB2312" w:hAnsi="仿宋_GB2312" w:eastAsia="仿宋_GB2312" w:cs="仿宋_GB2312"/>
          <w:bCs/>
          <w:sz w:val="32"/>
          <w:szCs w:val="32"/>
          <w:highlight w:val="none"/>
        </w:rPr>
      </w:pPr>
      <w:r>
        <w:rPr>
          <w:rFonts w:hint="eastAsia" w:ascii="仿宋_GB2312" w:hAnsi="仿宋_GB2312" w:eastAsia="仿宋_GB2312" w:cs="仿宋_GB2312"/>
          <w:sz w:val="32"/>
          <w:szCs w:val="32"/>
          <w:highlight w:val="none"/>
          <w:lang w:val="en-US" w:eastAsia="zh-CN"/>
        </w:rPr>
        <w:t>2024年</w:t>
      </w:r>
      <w:r>
        <w:rPr>
          <w:rFonts w:hint="eastAsia" w:ascii="仿宋_GB2312" w:hAnsi="仿宋_GB2312" w:eastAsia="仿宋_GB2312" w:cs="仿宋_GB2312"/>
          <w:sz w:val="32"/>
          <w:szCs w:val="32"/>
          <w:highlight w:val="none"/>
        </w:rPr>
        <w:t>收入</w:t>
      </w:r>
      <w:r>
        <w:rPr>
          <w:rFonts w:hint="eastAsia" w:ascii="仿宋_GB2312" w:hAnsi="仿宋_GB2312" w:eastAsia="仿宋_GB2312" w:cs="仿宋_GB2312"/>
          <w:sz w:val="32"/>
          <w:szCs w:val="32"/>
          <w:highlight w:val="none"/>
          <w:lang w:val="en-US" w:eastAsia="zh-CN"/>
        </w:rPr>
        <w:t>4296.52万元，</w:t>
      </w:r>
      <w:r>
        <w:rPr>
          <w:rFonts w:hint="eastAsia" w:ascii="仿宋_GB2312" w:hAnsi="仿宋_GB2312" w:eastAsia="仿宋_GB2312" w:cs="仿宋_GB2312"/>
          <w:sz w:val="32"/>
          <w:szCs w:val="32"/>
          <w:highlight w:val="none"/>
        </w:rPr>
        <w:t>支出</w:t>
      </w:r>
      <w:r>
        <w:rPr>
          <w:rFonts w:hint="eastAsia" w:ascii="仿宋_GB2312" w:hAnsi="仿宋_GB2312" w:eastAsia="仿宋_GB2312" w:cs="仿宋_GB2312"/>
          <w:sz w:val="32"/>
          <w:szCs w:val="32"/>
          <w:highlight w:val="none"/>
          <w:lang w:val="en-US" w:eastAsia="zh-CN"/>
        </w:rPr>
        <w:t>4296.52万元，其中：人员经费774.1万元、公用经费26.06万元、项目支出3522.42万元</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与上年度</w:t>
      </w:r>
      <w:r>
        <w:rPr>
          <w:rFonts w:hint="eastAsia" w:ascii="仿宋_GB2312" w:hAnsi="仿宋_GB2312" w:eastAsia="仿宋_GB2312" w:cs="仿宋_GB2312"/>
          <w:sz w:val="32"/>
          <w:szCs w:val="32"/>
          <w:highlight w:val="none"/>
          <w:lang w:eastAsia="zh-CN"/>
        </w:rPr>
        <w:t>收入</w:t>
      </w:r>
      <w:r>
        <w:rPr>
          <w:rFonts w:hint="eastAsia" w:ascii="仿宋_GB2312" w:hAnsi="仿宋_GB2312" w:eastAsia="仿宋_GB2312" w:cs="仿宋_GB2312"/>
          <w:sz w:val="32"/>
          <w:szCs w:val="32"/>
          <w:highlight w:val="none"/>
          <w:lang w:val="en-US" w:eastAsia="zh-CN"/>
        </w:rPr>
        <w:t>8048.78</w:t>
      </w:r>
      <w:r>
        <w:rPr>
          <w:rFonts w:hint="eastAsia" w:ascii="仿宋_GB2312" w:hAnsi="仿宋_GB2312" w:eastAsia="仿宋_GB2312" w:cs="仿宋_GB2312"/>
          <w:sz w:val="32"/>
          <w:szCs w:val="32"/>
          <w:highlight w:val="none"/>
        </w:rPr>
        <w:t>万元对比，</w:t>
      </w:r>
      <w:r>
        <w:rPr>
          <w:rFonts w:hint="eastAsia" w:ascii="仿宋_GB2312" w:hAnsi="仿宋_GB2312" w:eastAsia="仿宋_GB2312" w:cs="仿宋_GB2312"/>
          <w:sz w:val="32"/>
          <w:szCs w:val="32"/>
          <w:highlight w:val="none"/>
          <w:lang w:val="en-US" w:eastAsia="zh-CN"/>
        </w:rPr>
        <w:t>减少3752.26万元，降低87.3%，</w:t>
      </w:r>
      <w:r>
        <w:rPr>
          <w:rFonts w:hint="eastAsia" w:ascii="仿宋_GB2312" w:hAnsi="仿宋_GB2312" w:eastAsia="仿宋_GB2312" w:cs="仿宋_GB2312"/>
          <w:sz w:val="32"/>
          <w:szCs w:val="32"/>
          <w:highlight w:val="none"/>
        </w:rPr>
        <w:t>主要原因</w:t>
      </w:r>
      <w:r>
        <w:rPr>
          <w:rFonts w:hint="eastAsia" w:ascii="仿宋_GB2312" w:hAnsi="仿宋_GB2312" w:eastAsia="仿宋_GB2312" w:cs="仿宋_GB2312"/>
          <w:sz w:val="32"/>
          <w:szCs w:val="32"/>
          <w:highlight w:val="none"/>
          <w:lang w:val="en-US" w:eastAsia="zh-CN"/>
        </w:rPr>
        <w:t>企业补助资金减少</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与上年度支出8048.78万元，减少3752.26万元，降低87.3%，</w:t>
      </w:r>
      <w:r>
        <w:rPr>
          <w:rFonts w:hint="eastAsia" w:ascii="仿宋_GB2312" w:hAnsi="仿宋_GB2312" w:eastAsia="仿宋_GB2312" w:cs="仿宋_GB2312"/>
          <w:sz w:val="32"/>
          <w:szCs w:val="32"/>
          <w:highlight w:val="none"/>
        </w:rPr>
        <w:t>主要原因</w:t>
      </w:r>
      <w:r>
        <w:rPr>
          <w:rFonts w:hint="eastAsia" w:ascii="仿宋_GB2312" w:hAnsi="仿宋_GB2312" w:eastAsia="仿宋_GB2312" w:cs="仿宋_GB2312"/>
          <w:sz w:val="32"/>
          <w:szCs w:val="32"/>
          <w:highlight w:val="none"/>
          <w:lang w:val="en-US" w:eastAsia="zh-CN"/>
        </w:rPr>
        <w:t>企业补助资金减少</w:t>
      </w:r>
      <w:r>
        <w:rPr>
          <w:rFonts w:hint="eastAsia" w:ascii="仿宋_GB2312" w:hAnsi="仿宋_GB2312" w:eastAsia="仿宋_GB2312" w:cs="仿宋_GB2312"/>
          <w:sz w:val="32"/>
          <w:szCs w:val="32"/>
          <w:highlight w:val="none"/>
          <w:lang w:eastAsia="zh-CN"/>
        </w:rPr>
        <w:t>。</w:t>
      </w:r>
    </w:p>
    <w:p>
      <w:pPr>
        <w:adjustRightInd w:val="0"/>
        <w:snapToGrid w:val="0"/>
        <w:spacing w:line="560" w:lineRule="exact"/>
        <w:ind w:firstLine="643" w:firstLineChars="200"/>
        <w:rPr>
          <w:rFonts w:hint="eastAsia" w:ascii="仿宋_GB2312" w:hAnsi="仿宋_GB2312" w:eastAsia="仿宋_GB2312" w:cs="仿宋_GB2312"/>
          <w:b/>
          <w:bCs w:val="0"/>
          <w:sz w:val="32"/>
          <w:szCs w:val="32"/>
          <w:highlight w:val="none"/>
        </w:rPr>
      </w:pPr>
      <w:r>
        <w:rPr>
          <w:rFonts w:hint="eastAsia" w:ascii="仿宋_GB2312" w:hAnsi="仿宋_GB2312" w:eastAsia="仿宋_GB2312" w:cs="仿宋_GB2312"/>
          <w:b/>
          <w:bCs w:val="0"/>
          <w:sz w:val="32"/>
          <w:szCs w:val="32"/>
          <w:highlight w:val="none"/>
        </w:rPr>
        <w:t>（三）部门整体支出绩效目标、指标</w:t>
      </w:r>
    </w:p>
    <w:p>
      <w:pPr>
        <w:pStyle w:val="4"/>
        <w:keepNext w:val="0"/>
        <w:keepLines w:val="0"/>
        <w:pageBreakBefore w:val="0"/>
        <w:widowControl/>
        <w:suppressLineNumbers w:val="0"/>
        <w:kinsoku/>
        <w:wordWrap/>
        <w:overflowPunct/>
        <w:topLinePunct w:val="0"/>
        <w:autoSpaceDE/>
        <w:autoSpaceDN/>
        <w:bidi w:val="0"/>
        <w:adjustRightInd/>
        <w:snapToGrid/>
        <w:spacing w:before="0" w:after="0" w:line="240" w:lineRule="auto"/>
        <w:ind w:left="0" w:leftChars="0" w:right="0" w:rightChars="0"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石家庄市新华区发展和改革局坚持以习近平新时代中国特色社会主义思想为指导，在区委、区政府的坚强领导下，坚持稳中求进工作总基调，</w:t>
      </w:r>
      <w:r>
        <w:rPr>
          <w:rFonts w:hint="eastAsia" w:ascii="仿宋_GB2312" w:hAnsi="仿宋_GB2312" w:eastAsia="仿宋_GB2312" w:cs="仿宋_GB2312"/>
          <w:sz w:val="32"/>
          <w:szCs w:val="32"/>
        </w:rPr>
        <w:t>全区在具体工作中要坚持“落实新发展理念”这条主线，明确“实现高质量发展”这个目标，健全一套完整的工作推动机制，努力在“全面对标对表，推动新发展理念落实落细”“明晰发展思路，优化产业布局”“坚持创新驱动，推动产业转型升级”“突出投资拉动，抓好项目建设和招商引资”“深化改革开放，增强发展活力动力”“夯实基础特色，提升城市建管水平”“树牢底线思维，打好打赢三大攻坚战”“补齐短板弱项，保障改善民生质量”八个方面下功夫</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抢抓机遇、迎难而上，攻坚克难、奋发作为，努力推动我区高质量发展迈上新台阶，奋力开创“产城融合、宜居宜业”魅力新华建设新局面。</w:t>
      </w:r>
      <w:r>
        <w:rPr>
          <w:rFonts w:hint="eastAsia" w:ascii="仿宋_GB2312" w:hAnsi="仿宋_GB2312" w:eastAsia="仿宋_GB2312" w:cs="仿宋_GB2312"/>
          <w:sz w:val="32"/>
          <w:szCs w:val="32"/>
          <w:lang w:val="en-US" w:eastAsia="zh-CN"/>
        </w:rPr>
        <w:t> </w:t>
      </w:r>
    </w:p>
    <w:p>
      <w:pPr>
        <w:adjustRightInd w:val="0"/>
        <w:snapToGrid w:val="0"/>
        <w:spacing w:line="560" w:lineRule="exact"/>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二、自评工作开展情况</w:t>
      </w:r>
    </w:p>
    <w:p>
      <w:pPr>
        <w:spacing w:line="560" w:lineRule="exact"/>
        <w:rPr>
          <w:rFonts w:hint="eastAsia" w:ascii="仿宋_GB2312" w:hAnsi="仿宋_GB2312" w:eastAsia="仿宋_GB2312" w:cs="仿宋_GB2312"/>
          <w:b/>
          <w:bCs w:val="0"/>
          <w:sz w:val="32"/>
          <w:szCs w:val="32"/>
        </w:rPr>
      </w:pPr>
      <w:r>
        <w:rPr>
          <w:rFonts w:hint="eastAsia" w:ascii="仿宋_GB2312" w:hAnsi="仿宋_GB2312" w:eastAsia="仿宋_GB2312" w:cs="仿宋_GB2312"/>
          <w:b/>
          <w:bCs/>
          <w:sz w:val="32"/>
          <w:szCs w:val="32"/>
        </w:rPr>
        <w:t xml:space="preserve">    </w:t>
      </w:r>
      <w:r>
        <w:rPr>
          <w:rFonts w:hint="eastAsia" w:ascii="仿宋_GB2312" w:hAnsi="仿宋_GB2312" w:eastAsia="仿宋_GB2312" w:cs="仿宋_GB2312"/>
          <w:b/>
          <w:bCs w:val="0"/>
          <w:sz w:val="32"/>
          <w:szCs w:val="32"/>
        </w:rPr>
        <w:t>（一）自评的组织工作</w:t>
      </w:r>
    </w:p>
    <w:p>
      <w:pPr>
        <w:keepNext w:val="0"/>
        <w:keepLines w:val="0"/>
        <w:pageBreakBefore w:val="0"/>
        <w:widowControl w:val="0"/>
        <w:kinsoku/>
        <w:wordWrap/>
        <w:overflowPunct/>
        <w:topLinePunct w:val="0"/>
        <w:autoSpaceDE/>
        <w:autoSpaceDN/>
        <w:bidi w:val="0"/>
        <w:spacing w:line="600" w:lineRule="exact"/>
        <w:ind w:right="0" w:righ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我局根据区</w:t>
      </w:r>
      <w:r>
        <w:rPr>
          <w:rFonts w:hint="eastAsia" w:ascii="仿宋_GB2312" w:hAnsi="仿宋_GB2312" w:eastAsia="仿宋_GB2312" w:cs="仿宋_GB2312"/>
          <w:sz w:val="32"/>
          <w:szCs w:val="32"/>
        </w:rPr>
        <w:t>财政局下发的《石家庄市新华区区级部门项目绩效自评管理办法》(石新财〔2020〕15号)、《关于全 面落实预算绩效管理的实施意见》(新华发 〔2019〕9号)</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关于开展202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年绩效自评工作的通知</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color w:val="auto"/>
          <w:sz w:val="32"/>
          <w:szCs w:val="32"/>
        </w:rPr>
        <w:t>，组织相关人员认真学习</w:t>
      </w:r>
      <w:r>
        <w:rPr>
          <w:rFonts w:hint="eastAsia" w:ascii="仿宋_GB2312" w:hAnsi="仿宋_GB2312" w:eastAsia="仿宋_GB2312" w:cs="仿宋_GB2312"/>
          <w:color w:val="auto"/>
          <w:sz w:val="32"/>
          <w:szCs w:val="32"/>
          <w:lang w:val="en-US" w:eastAsia="zh-CN"/>
        </w:rPr>
        <w:t>区财政</w:t>
      </w:r>
      <w:r>
        <w:rPr>
          <w:rFonts w:hint="eastAsia" w:ascii="仿宋_GB2312" w:hAnsi="仿宋_GB2312" w:eastAsia="仿宋_GB2312" w:cs="仿宋_GB2312"/>
          <w:sz w:val="32"/>
          <w:szCs w:val="32"/>
        </w:rPr>
        <w:t>局关于财政支出绩效评价的相关文件和要求，并安排由</w:t>
      </w:r>
      <w:r>
        <w:rPr>
          <w:rFonts w:hint="eastAsia" w:ascii="仿宋_GB2312" w:hAnsi="仿宋_GB2312" w:eastAsia="仿宋_GB2312" w:cs="仿宋_GB2312"/>
          <w:sz w:val="32"/>
          <w:szCs w:val="32"/>
          <w:lang w:eastAsia="zh-CN"/>
        </w:rPr>
        <w:t>办公室财务</w:t>
      </w:r>
      <w:r>
        <w:rPr>
          <w:rFonts w:hint="eastAsia" w:ascii="仿宋_GB2312" w:hAnsi="仿宋_GB2312" w:eastAsia="仿宋_GB2312" w:cs="仿宋_GB2312"/>
          <w:sz w:val="32"/>
          <w:szCs w:val="32"/>
        </w:rPr>
        <w:t>组织牵头，相关</w:t>
      </w:r>
      <w:r>
        <w:rPr>
          <w:rFonts w:hint="eastAsia" w:ascii="仿宋_GB2312" w:hAnsi="仿宋_GB2312" w:eastAsia="仿宋_GB2312" w:cs="仿宋_GB2312"/>
          <w:sz w:val="32"/>
          <w:szCs w:val="32"/>
          <w:lang w:eastAsia="zh-CN"/>
        </w:rPr>
        <w:t>处</w:t>
      </w:r>
      <w:r>
        <w:rPr>
          <w:rFonts w:hint="eastAsia" w:ascii="仿宋_GB2312" w:hAnsi="仿宋_GB2312" w:eastAsia="仿宋_GB2312" w:cs="仿宋_GB2312"/>
          <w:sz w:val="32"/>
          <w:szCs w:val="32"/>
        </w:rPr>
        <w:t>室</w:t>
      </w:r>
      <w:r>
        <w:rPr>
          <w:rFonts w:hint="eastAsia" w:ascii="仿宋_GB2312" w:hAnsi="仿宋_GB2312" w:eastAsia="仿宋_GB2312" w:cs="仿宋_GB2312"/>
          <w:sz w:val="32"/>
          <w:szCs w:val="32"/>
          <w:lang w:eastAsia="zh-CN"/>
        </w:rPr>
        <w:t>有关</w:t>
      </w:r>
      <w:r>
        <w:rPr>
          <w:rFonts w:hint="eastAsia" w:ascii="仿宋_GB2312" w:hAnsi="仿宋_GB2312" w:eastAsia="仿宋_GB2312" w:cs="仿宋_GB2312"/>
          <w:sz w:val="32"/>
          <w:szCs w:val="32"/>
        </w:rPr>
        <w:t>人员组成自评工作小组。其他相关</w:t>
      </w:r>
      <w:r>
        <w:rPr>
          <w:rFonts w:hint="eastAsia" w:ascii="仿宋_GB2312" w:hAnsi="仿宋_GB2312" w:eastAsia="仿宋_GB2312" w:cs="仿宋_GB2312"/>
          <w:sz w:val="32"/>
          <w:szCs w:val="32"/>
          <w:lang w:eastAsia="zh-CN"/>
        </w:rPr>
        <w:t>处</w:t>
      </w:r>
      <w:r>
        <w:rPr>
          <w:rFonts w:hint="eastAsia" w:ascii="仿宋_GB2312" w:hAnsi="仿宋_GB2312" w:eastAsia="仿宋_GB2312" w:cs="仿宋_GB2312"/>
          <w:sz w:val="32"/>
          <w:szCs w:val="32"/>
        </w:rPr>
        <w:t>室分别根据自己的业务范围对要求进行绩效评价的专项项目进行分工。收集整理项目批复文件、专项资金收支明细账等相关资料，落实到部门、人员，并提出明确的时间要求。</w:t>
      </w:r>
    </w:p>
    <w:p>
      <w:pPr>
        <w:numPr>
          <w:ilvl w:val="0"/>
          <w:numId w:val="2"/>
        </w:numPr>
        <w:spacing w:line="560" w:lineRule="exact"/>
        <w:rPr>
          <w:rFonts w:hint="eastAsia" w:ascii="仿宋_GB2312" w:hAnsi="仿宋_GB2312" w:eastAsia="仿宋_GB2312" w:cs="仿宋_GB2312"/>
          <w:b/>
          <w:bCs w:val="0"/>
          <w:sz w:val="32"/>
          <w:szCs w:val="32"/>
        </w:rPr>
      </w:pPr>
      <w:r>
        <w:rPr>
          <w:rFonts w:hint="eastAsia" w:ascii="仿宋_GB2312" w:hAnsi="仿宋_GB2312" w:eastAsia="仿宋_GB2312" w:cs="仿宋_GB2312"/>
          <w:b/>
          <w:bCs w:val="0"/>
          <w:sz w:val="32"/>
          <w:szCs w:val="32"/>
        </w:rPr>
        <w:t>自评的方法和过程</w:t>
      </w:r>
    </w:p>
    <w:p>
      <w:pPr>
        <w:numPr>
          <w:ilvl w:val="0"/>
          <w:numId w:val="0"/>
        </w:num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sz w:val="32"/>
          <w:szCs w:val="32"/>
        </w:rPr>
        <w:t>绩效自评采取量化评分的形式。每个预算项目都要评出绩效分值，得分以百分制计算。项目绩效自评得分由各项指标得分加权汇总形成。为确保自评工作的科学、严谨、公开、透明，安排专人，从项目立项、预算编制、组织实施、绩</w:t>
      </w:r>
      <w:r>
        <w:rPr>
          <w:rFonts w:hint="eastAsia" w:ascii="仿宋_GB2312" w:hAnsi="仿宋_GB2312" w:eastAsia="仿宋_GB2312" w:cs="仿宋_GB2312"/>
          <w:sz w:val="32"/>
          <w:szCs w:val="32"/>
          <w:lang w:val="en-US" w:eastAsia="zh-CN"/>
        </w:rPr>
        <w:t>效</w:t>
      </w:r>
      <w:r>
        <w:rPr>
          <w:rFonts w:hint="eastAsia" w:ascii="仿宋_GB2312" w:hAnsi="仿宋_GB2312" w:eastAsia="仿宋_GB2312" w:cs="仿宋_GB2312"/>
          <w:sz w:val="32"/>
          <w:szCs w:val="32"/>
        </w:rPr>
        <w:t>评价等关键环节，对照绩效指标及评分标逐条开展自评</w:t>
      </w:r>
      <w:r>
        <w:rPr>
          <w:rFonts w:hint="eastAsia" w:ascii="仿宋_GB2312" w:hAnsi="仿宋_GB2312" w:eastAsia="仿宋_GB2312" w:cs="仿宋_GB2312"/>
          <w:sz w:val="32"/>
          <w:szCs w:val="32"/>
          <w:lang w:eastAsia="zh-CN"/>
        </w:rPr>
        <w:t>。</w:t>
      </w:r>
    </w:p>
    <w:p>
      <w:pPr>
        <w:spacing w:line="560" w:lineRule="exact"/>
        <w:rPr>
          <w:rFonts w:hint="eastAsia" w:ascii="仿宋_GB2312" w:hAnsi="仿宋_GB2312" w:eastAsia="仿宋_GB2312" w:cs="仿宋_GB2312"/>
          <w:b/>
          <w:bCs/>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b/>
          <w:bCs/>
          <w:sz w:val="32"/>
          <w:szCs w:val="32"/>
        </w:rPr>
        <w:t>三、部门整体支出绩效目标实现情况及指标分析</w:t>
      </w:r>
    </w:p>
    <w:p>
      <w:pPr>
        <w:numPr>
          <w:ilvl w:val="0"/>
          <w:numId w:val="3"/>
        </w:numPr>
        <w:spacing w:line="560" w:lineRule="exact"/>
        <w:ind w:left="620" w:leftChars="0" w:firstLine="640" w:firstLineChars="0"/>
        <w:rPr>
          <w:rFonts w:hint="eastAsia" w:ascii="仿宋_GB2312" w:hAnsi="仿宋_GB2312" w:eastAsia="仿宋_GB2312" w:cs="仿宋_GB2312"/>
          <w:b/>
          <w:bCs w:val="0"/>
          <w:sz w:val="32"/>
          <w:szCs w:val="32"/>
        </w:rPr>
      </w:pPr>
      <w:r>
        <w:rPr>
          <w:rFonts w:hint="eastAsia" w:ascii="仿宋_GB2312" w:hAnsi="仿宋_GB2312" w:eastAsia="仿宋_GB2312" w:cs="仿宋_GB2312"/>
          <w:b/>
          <w:bCs w:val="0"/>
          <w:sz w:val="32"/>
          <w:szCs w:val="32"/>
        </w:rPr>
        <w:t>总体绩效目标实现情况</w:t>
      </w:r>
    </w:p>
    <w:p>
      <w:pPr>
        <w:spacing w:line="560" w:lineRule="exact"/>
        <w:ind w:firstLine="640" w:firstLineChars="200"/>
        <w:rPr>
          <w:rFonts w:hint="eastAsia" w:ascii="仿宋_GB2312" w:hAnsi="仿宋_GB2312" w:eastAsia="仿宋_GB2312" w:cs="仿宋_GB2312"/>
          <w:bCs/>
          <w:sz w:val="32"/>
          <w:szCs w:val="32"/>
          <w:lang w:val="en-US" w:eastAsia="zh-CN"/>
        </w:rPr>
      </w:pPr>
      <w:r>
        <w:rPr>
          <w:rFonts w:hint="eastAsia" w:ascii="仿宋_GB2312" w:hAnsi="仿宋_GB2312" w:eastAsia="仿宋_GB2312" w:cs="仿宋_GB2312"/>
          <w:bCs/>
          <w:sz w:val="32"/>
          <w:szCs w:val="32"/>
        </w:rPr>
        <w:t>总体绩效目标</w:t>
      </w:r>
      <w:r>
        <w:rPr>
          <w:rFonts w:hint="eastAsia" w:ascii="仿宋_GB2312" w:hAnsi="仿宋_GB2312" w:eastAsia="仿宋_GB2312" w:cs="仿宋_GB2312"/>
          <w:bCs/>
          <w:sz w:val="32"/>
          <w:szCs w:val="32"/>
          <w:lang w:val="en-US" w:eastAsia="zh-CN"/>
        </w:rPr>
        <w:t>已按照既定时间、既定质量要求完成，实际完成率100%，质量达标率100%。</w:t>
      </w:r>
    </w:p>
    <w:p>
      <w:pPr>
        <w:spacing w:line="560" w:lineRule="exact"/>
        <w:ind w:firstLine="321" w:firstLineChars="100"/>
        <w:rPr>
          <w:rFonts w:hint="eastAsia" w:ascii="仿宋_GB2312" w:hAnsi="仿宋_GB2312" w:eastAsia="仿宋_GB2312" w:cs="仿宋_GB2312"/>
          <w:b/>
          <w:bCs w:val="0"/>
          <w:sz w:val="32"/>
          <w:szCs w:val="32"/>
        </w:rPr>
      </w:pPr>
      <w:r>
        <w:rPr>
          <w:rFonts w:hint="eastAsia" w:ascii="仿宋_GB2312" w:hAnsi="仿宋_GB2312" w:eastAsia="仿宋_GB2312" w:cs="仿宋_GB2312"/>
          <w:b/>
          <w:bCs/>
          <w:sz w:val="32"/>
          <w:szCs w:val="32"/>
        </w:rPr>
        <w:t xml:space="preserve"> </w:t>
      </w:r>
      <w:r>
        <w:rPr>
          <w:rFonts w:hint="eastAsia" w:ascii="仿宋_GB2312" w:hAnsi="仿宋_GB2312" w:eastAsia="仿宋_GB2312" w:cs="仿宋_GB2312"/>
          <w:b/>
          <w:bCs w:val="0"/>
          <w:sz w:val="32"/>
          <w:szCs w:val="32"/>
        </w:rPr>
        <w:t>（二）分项绩效目标实现情况及指标分析</w:t>
      </w:r>
    </w:p>
    <w:p>
      <w:pPr>
        <w:spacing w:line="560" w:lineRule="exact"/>
        <w:ind w:firstLine="800" w:firstLineChars="25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区发展和改革局2024年的23项绩效指标，均</w:t>
      </w:r>
      <w:r>
        <w:rPr>
          <w:rFonts w:hint="eastAsia" w:ascii="仿宋_GB2312" w:hAnsi="仿宋_GB2312" w:eastAsia="仿宋_GB2312" w:cs="仿宋_GB2312"/>
          <w:bCs/>
          <w:sz w:val="32"/>
          <w:szCs w:val="32"/>
          <w:lang w:val="en-US" w:eastAsia="zh-CN"/>
        </w:rPr>
        <w:t>已按照既定时间、既定质量要求完成，实际完成率100%，质量达标率100%</w:t>
      </w:r>
      <w:r>
        <w:rPr>
          <w:rFonts w:hint="eastAsia" w:ascii="仿宋_GB2312" w:hAnsi="仿宋_GB2312" w:eastAsia="仿宋_GB2312" w:cs="仿宋_GB2312"/>
          <w:sz w:val="32"/>
          <w:szCs w:val="32"/>
        </w:rPr>
        <w:t>。</w:t>
      </w:r>
    </w:p>
    <w:p>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四、评价结论和评价等级</w:t>
      </w:r>
    </w:p>
    <w:p>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我局</w:t>
      </w:r>
      <w:r>
        <w:rPr>
          <w:rFonts w:hint="eastAsia" w:ascii="仿宋_GB2312" w:hAnsi="仿宋_GB2312" w:eastAsia="仿宋_GB2312" w:cs="仿宋_GB2312"/>
          <w:sz w:val="32"/>
          <w:szCs w:val="32"/>
        </w:rPr>
        <w:t>纳入20</w:t>
      </w:r>
      <w:r>
        <w:rPr>
          <w:rFonts w:hint="eastAsia" w:ascii="仿宋_GB2312" w:hAnsi="仿宋_GB2312" w:eastAsia="仿宋_GB2312" w:cs="仿宋_GB2312"/>
          <w:sz w:val="32"/>
          <w:szCs w:val="32"/>
          <w:lang w:val="en-US" w:eastAsia="zh-CN"/>
        </w:rPr>
        <w:t>24</w:t>
      </w:r>
      <w:r>
        <w:rPr>
          <w:rFonts w:hint="eastAsia" w:ascii="仿宋_GB2312" w:hAnsi="仿宋_GB2312" w:eastAsia="仿宋_GB2312" w:cs="仿宋_GB2312"/>
          <w:sz w:val="32"/>
          <w:szCs w:val="32"/>
        </w:rPr>
        <w:t>年度财政专项资金绩效自评项目</w:t>
      </w:r>
      <w:r>
        <w:rPr>
          <w:rFonts w:hint="eastAsia" w:ascii="仿宋_GB2312" w:hAnsi="仿宋_GB2312" w:eastAsia="仿宋_GB2312" w:cs="仿宋_GB2312"/>
          <w:sz w:val="32"/>
          <w:szCs w:val="32"/>
          <w:lang w:val="en-US" w:eastAsia="zh-CN"/>
        </w:rPr>
        <w:t>23</w:t>
      </w:r>
      <w:r>
        <w:rPr>
          <w:rFonts w:hint="eastAsia" w:ascii="仿宋_GB2312" w:hAnsi="仿宋_GB2312" w:eastAsia="仿宋_GB2312" w:cs="仿宋_GB2312"/>
          <w:sz w:val="32"/>
          <w:szCs w:val="32"/>
        </w:rPr>
        <w:t>个</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已全部执行实施并对所有项目进行自评，</w:t>
      </w:r>
      <w:r>
        <w:rPr>
          <w:rFonts w:hint="eastAsia" w:ascii="仿宋_GB2312" w:hAnsi="仿宋_GB2312" w:eastAsia="仿宋_GB2312" w:cs="仿宋_GB2312"/>
          <w:sz w:val="32"/>
          <w:szCs w:val="32"/>
        </w:rPr>
        <w:t>绩效评价综合得</w:t>
      </w:r>
      <w:r>
        <w:rPr>
          <w:rFonts w:hint="eastAsia" w:ascii="仿宋_GB2312" w:hAnsi="仿宋_GB2312" w:eastAsia="仿宋_GB2312" w:cs="仿宋_GB2312"/>
          <w:sz w:val="32"/>
          <w:szCs w:val="32"/>
          <w:highlight w:val="none"/>
        </w:rPr>
        <w:t>分</w:t>
      </w:r>
      <w:r>
        <w:rPr>
          <w:rFonts w:hint="eastAsia" w:ascii="仿宋_GB2312" w:hAnsi="仿宋_GB2312" w:eastAsia="仿宋_GB2312" w:cs="仿宋_GB2312"/>
          <w:sz w:val="32"/>
          <w:szCs w:val="32"/>
          <w:highlight w:val="none"/>
          <w:lang w:val="en-US" w:eastAsia="zh-CN"/>
        </w:rPr>
        <w:t>94.17</w:t>
      </w:r>
      <w:r>
        <w:rPr>
          <w:rFonts w:hint="eastAsia" w:ascii="仿宋_GB2312" w:hAnsi="仿宋_GB2312" w:eastAsia="仿宋_GB2312" w:cs="仿宋_GB2312"/>
          <w:sz w:val="32"/>
          <w:szCs w:val="32"/>
          <w:highlight w:val="none"/>
        </w:rPr>
        <w:t>分</w:t>
      </w:r>
      <w:r>
        <w:rPr>
          <w:rFonts w:hint="eastAsia" w:ascii="仿宋_GB2312" w:hAnsi="仿宋_GB2312" w:eastAsia="仿宋_GB2312" w:cs="仿宋_GB2312"/>
          <w:sz w:val="32"/>
          <w:szCs w:val="32"/>
        </w:rPr>
        <w:t>，绩效评价综合等级为优。</w:t>
      </w:r>
    </w:p>
    <w:p>
      <w:pPr>
        <w:spacing w:line="560" w:lineRule="exact"/>
        <w:ind w:firstLine="640" w:firstLineChars="200"/>
        <w:rPr>
          <w:rFonts w:hint="eastAsia" w:ascii="仿宋_GB2312" w:hAnsi="仿宋_GB2312" w:eastAsia="仿宋_GB2312" w:cs="仿宋_GB2312"/>
          <w:sz w:val="32"/>
          <w:szCs w:val="32"/>
        </w:rPr>
      </w:pPr>
    </w:p>
    <w:p>
      <w:pPr>
        <w:spacing w:line="56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五、存在的问题及改进措施</w:t>
      </w:r>
    </w:p>
    <w:p>
      <w:pPr>
        <w:spacing w:line="560" w:lineRule="exact"/>
        <w:ind w:firstLine="643" w:firstLineChars="200"/>
        <w:rPr>
          <w:rFonts w:hint="eastAsia" w:ascii="仿宋_GB2312" w:hAnsi="仿宋_GB2312" w:eastAsia="仿宋_GB2312" w:cs="仿宋_GB2312"/>
          <w:b/>
          <w:bCs w:val="0"/>
          <w:sz w:val="32"/>
          <w:szCs w:val="32"/>
        </w:rPr>
      </w:pPr>
      <w:r>
        <w:rPr>
          <w:rFonts w:hint="eastAsia" w:ascii="仿宋_GB2312" w:hAnsi="仿宋_GB2312" w:eastAsia="仿宋_GB2312" w:cs="仿宋_GB2312"/>
          <w:b/>
          <w:bCs w:val="0"/>
          <w:sz w:val="32"/>
          <w:szCs w:val="32"/>
        </w:rPr>
        <w:t>（一）存在的主要问题</w:t>
      </w:r>
    </w:p>
    <w:p>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通过绩效自评发现，自评项目的绩效指标总体设定清晰准确、科学合理。但个别项目绩效指标设置仍存在问题。由于绩效目标管理经验不足，导致预算绩效目标设置和绩效指标编制水平有待进一步提高。</w:t>
      </w:r>
      <w:bookmarkStart w:id="0" w:name="_GoBack"/>
      <w:bookmarkEnd w:id="0"/>
    </w:p>
    <w:p>
      <w:pPr>
        <w:numPr>
          <w:numId w:val="0"/>
        </w:numPr>
        <w:spacing w:line="560" w:lineRule="exact"/>
        <w:ind w:firstLine="643" w:firstLineChars="200"/>
        <w:rPr>
          <w:rFonts w:hint="eastAsia" w:ascii="仿宋_GB2312" w:hAnsi="仿宋_GB2312" w:eastAsia="仿宋_GB2312" w:cs="仿宋_GB2312"/>
          <w:b/>
          <w:bCs w:val="0"/>
          <w:sz w:val="32"/>
          <w:szCs w:val="32"/>
        </w:rPr>
      </w:pPr>
      <w:r>
        <w:rPr>
          <w:rFonts w:hint="eastAsia" w:ascii="仿宋_GB2312" w:hAnsi="仿宋_GB2312" w:eastAsia="仿宋_GB2312" w:cs="仿宋_GB2312"/>
          <w:b/>
          <w:bCs w:val="0"/>
          <w:sz w:val="32"/>
          <w:szCs w:val="32"/>
          <w:lang w:eastAsia="zh-CN"/>
        </w:rPr>
        <w:t>（</w:t>
      </w:r>
      <w:r>
        <w:rPr>
          <w:rFonts w:hint="eastAsia" w:ascii="仿宋_GB2312" w:hAnsi="仿宋_GB2312" w:eastAsia="仿宋_GB2312" w:cs="仿宋_GB2312"/>
          <w:b/>
          <w:bCs w:val="0"/>
          <w:sz w:val="32"/>
          <w:szCs w:val="32"/>
          <w:lang w:val="en-US" w:eastAsia="zh-CN"/>
        </w:rPr>
        <w:t>二）</w:t>
      </w:r>
      <w:r>
        <w:rPr>
          <w:rFonts w:hint="eastAsia" w:ascii="仿宋_GB2312" w:hAnsi="仿宋_GB2312" w:eastAsia="仿宋_GB2312" w:cs="仿宋_GB2312"/>
          <w:b/>
          <w:bCs w:val="0"/>
          <w:sz w:val="32"/>
          <w:szCs w:val="32"/>
        </w:rPr>
        <w:t>针对问题提出具体的改进措施或建议</w:t>
      </w:r>
    </w:p>
    <w:p>
      <w:pPr>
        <w:keepNext w:val="0"/>
        <w:keepLines w:val="0"/>
        <w:pageBreakBefore w:val="0"/>
        <w:widowControl w:val="0"/>
        <w:kinsoku/>
        <w:wordWrap/>
        <w:overflowPunct/>
        <w:topLinePunct w:val="0"/>
        <w:autoSpaceDE/>
        <w:autoSpaceDN/>
        <w:bidi w:val="0"/>
        <w:spacing w:line="360" w:lineRule="auto"/>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sz w:val="32"/>
          <w:szCs w:val="32"/>
        </w:rPr>
        <w:t>督促部门结合部门主要职责和年度工作任务要求，在编制</w:t>
      </w:r>
      <w:r>
        <w:rPr>
          <w:rFonts w:hint="eastAsia" w:ascii="仿宋_GB2312" w:hAnsi="仿宋_GB2312" w:eastAsia="仿宋_GB2312" w:cs="仿宋_GB2312"/>
          <w:sz w:val="32"/>
          <w:szCs w:val="32"/>
          <w:lang w:val="en-US" w:eastAsia="zh-CN"/>
        </w:rPr>
        <w:t>以后</w:t>
      </w:r>
      <w:r>
        <w:rPr>
          <w:rFonts w:hint="eastAsia" w:ascii="仿宋_GB2312" w:hAnsi="仿宋_GB2312" w:eastAsia="仿宋_GB2312" w:cs="仿宋_GB2312"/>
          <w:sz w:val="32"/>
          <w:szCs w:val="32"/>
        </w:rPr>
        <w:t>年度部门预算时，科学合理确定绩效目标，细化指标、增强导向作用和预期约束。继续逐步完善项目绩效评价管理体系，进一步提高项目绩效管理水平</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按照目标导向和结果导向，准确编制年度预算，细化执行举措，提升资金使用效率和支出绩效。</w:t>
      </w:r>
    </w:p>
    <w:p>
      <w:pPr>
        <w:adjustRightInd w:val="0"/>
        <w:snapToGrid w:val="0"/>
        <w:spacing w:line="560" w:lineRule="exact"/>
        <w:ind w:firstLine="640" w:firstLineChars="200"/>
        <w:rPr>
          <w:rFonts w:hint="eastAsia" w:ascii="仿宋_GB2312" w:hAnsi="仿宋_GB2312" w:eastAsia="仿宋_GB2312" w:cs="仿宋_GB2312"/>
          <w:sz w:val="32"/>
          <w:szCs w:val="32"/>
        </w:rPr>
      </w:pPr>
    </w:p>
    <w:p>
      <w:pPr>
        <w:spacing w:line="560" w:lineRule="exact"/>
        <w:rPr>
          <w:rFonts w:hint="eastAsia" w:ascii="仿宋_GB2312" w:hAnsi="仿宋_GB2312" w:eastAsia="仿宋_GB2312" w:cs="仿宋_GB2312"/>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4A169A37"/>
    <w:multiLevelType w:val="singleLevel"/>
    <w:tmpl w:val="4A169A37"/>
    <w:lvl w:ilvl="0" w:tentative="0">
      <w:start w:val="2"/>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pPr>
        <w:ind w:left="620"/>
      </w:pPr>
      <w:rPr>
        <w:rFonts w:ascii="楷体" w:hAnsi="楷体" w:eastAsia="楷体"/>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F187B"/>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AAF0063"/>
    <w:rsid w:val="1BE140DE"/>
    <w:rsid w:val="1E542E40"/>
    <w:rsid w:val="248C197D"/>
    <w:rsid w:val="252959AF"/>
    <w:rsid w:val="277A6671"/>
    <w:rsid w:val="292D35B7"/>
    <w:rsid w:val="302F77C9"/>
    <w:rsid w:val="33EB6CFF"/>
    <w:rsid w:val="35A12947"/>
    <w:rsid w:val="37387040"/>
    <w:rsid w:val="3B625C0A"/>
    <w:rsid w:val="3CEE1963"/>
    <w:rsid w:val="436B78D3"/>
    <w:rsid w:val="4C9C27FE"/>
    <w:rsid w:val="4EB65185"/>
    <w:rsid w:val="50CB6C7E"/>
    <w:rsid w:val="512260B4"/>
    <w:rsid w:val="52BD6ACB"/>
    <w:rsid w:val="55537534"/>
    <w:rsid w:val="561A74F1"/>
    <w:rsid w:val="58B17416"/>
    <w:rsid w:val="597244E8"/>
    <w:rsid w:val="5EB71C30"/>
    <w:rsid w:val="66AF0CE5"/>
    <w:rsid w:val="68AC2130"/>
    <w:rsid w:val="6AC537CF"/>
    <w:rsid w:val="6E5B14A6"/>
    <w:rsid w:val="711B255E"/>
    <w:rsid w:val="7BB51E06"/>
    <w:rsid w:val="7C387F7C"/>
    <w:rsid w:val="7D6C4AD6"/>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4">
    <w:name w:val="Normal (Web)"/>
    <w:basedOn w:val="1"/>
    <w:qFormat/>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1685</Words>
  <Characters>1791</Characters>
  <Lines>4</Lines>
  <Paragraphs>1</Paragraphs>
  <TotalTime>20</TotalTime>
  <ScaleCrop>false</ScaleCrop>
  <LinksUpToDate>false</LinksUpToDate>
  <CharactersWithSpaces>1808</CharactersWithSpaces>
  <Application>WPS Office_11.8.2.12316_F1E327BC-269C-435d-A152-05C5408002CA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admin123</cp:lastModifiedBy>
  <cp:lastPrinted>2024-03-06T07:40:00Z</cp:lastPrinted>
  <dcterms:modified xsi:type="dcterms:W3CDTF">2025-12-04T02:35:11Z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2052-11.8.2.12316</vt:lpwstr>
  </property>
  <property fmtid="{D5CDD505-2E9C-101B-9397-08002B2CF9AE}" pid="3" name="ICV">
    <vt:lpwstr>96934721B1514D3FBAA28020338CE855_12</vt:lpwstr>
  </property>
  <property fmtid="{D5CDD505-2E9C-101B-9397-08002B2CF9AE}" pid="4" name="KSOTemplateDocerSaveRecord">
    <vt:lpwstr>eyJoZGlkIjoiMDRiNGJkYjBiMjRiNTM2Zjk5YWM2NmU3YTc2OThjMTYiLCJ1c2VySWQiOiIxMDI2NzA5MTgxIn0=</vt:lpwstr>
  </property>
</Properties>
</file>