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B404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3">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899002</w:t>
      </w:r>
    </w:p>
    <w:p w14:paraId="7533B336">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：石家庄市新华区民族路步行街服务中心</w:t>
      </w:r>
    </w:p>
    <w:p w14:paraId="2595C946">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0E049937">
      <w:pPr>
        <w:spacing w:line="600" w:lineRule="auto"/>
        <w:jc w:val="center"/>
        <w:rPr>
          <w:rFonts w:hint="eastAsia" w:ascii="楷体_GB2312" w:hAnsi="楷体_GB2312" w:eastAsia="楷体_GB2312" w:cs="楷体_GB2312"/>
          <w:color w:val="000000"/>
          <w:sz w:val="40"/>
          <w:szCs w:val="40"/>
        </w:rPr>
      </w:pPr>
    </w:p>
    <w:p w14:paraId="2509B2C8">
      <w:pPr>
        <w:rPr>
          <w:rFonts w:hint="eastAsia" w:ascii="黑体" w:hAnsi="黑体" w:eastAsia="黑体" w:cs="黑体"/>
          <w:b/>
          <w:bCs/>
          <w:sz w:val="32"/>
          <w:szCs w:val="36"/>
          <w:highlight w:val="yellow"/>
        </w:rPr>
      </w:pPr>
    </w:p>
    <w:p w14:paraId="2187725D">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石家庄市新华区民族路步行街服务中心</w:t>
      </w:r>
    </w:p>
    <w:p w14:paraId="5BB70BFC">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23AEA024">
      <w:pPr>
        <w:spacing w:line="360" w:lineRule="auto"/>
        <w:jc w:val="center"/>
        <w:rPr>
          <w:rFonts w:ascii="黑体" w:hAnsi="黑体" w:eastAsia="黑体" w:cs="黑体"/>
          <w:sz w:val="56"/>
          <w:szCs w:val="72"/>
        </w:rPr>
      </w:pPr>
    </w:p>
    <w:p w14:paraId="5DB67891">
      <w:pPr>
        <w:spacing w:line="600" w:lineRule="auto"/>
        <w:jc w:val="center"/>
        <w:rPr>
          <w:rFonts w:ascii="黑体" w:hAnsi="黑体" w:eastAsia="黑体" w:cs="黑体"/>
          <w:sz w:val="56"/>
          <w:szCs w:val="72"/>
        </w:rPr>
      </w:pPr>
    </w:p>
    <w:p w14:paraId="10DA5A83">
      <w:pPr>
        <w:spacing w:line="600" w:lineRule="auto"/>
        <w:jc w:val="center"/>
        <w:rPr>
          <w:rFonts w:ascii="黑体" w:hAnsi="黑体" w:eastAsia="黑体" w:cs="黑体"/>
          <w:sz w:val="56"/>
          <w:szCs w:val="72"/>
        </w:rPr>
      </w:pPr>
    </w:p>
    <w:p w14:paraId="3956C54B">
      <w:pPr>
        <w:spacing w:line="480" w:lineRule="auto"/>
        <w:jc w:val="both"/>
        <w:rPr>
          <w:rFonts w:ascii="黑体" w:hAnsi="黑体" w:eastAsia="黑体" w:cs="黑体"/>
          <w:sz w:val="56"/>
          <w:szCs w:val="72"/>
        </w:rPr>
      </w:pPr>
    </w:p>
    <w:p w14:paraId="36EAD2C5">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石家庄市新华区民族路步行街服务中心(单位名称，加盖公章）</w:t>
      </w:r>
    </w:p>
    <w:p w14:paraId="55A094EB">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14:paraId="0350B668">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65065631">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2D766CBE">
      <w:pPr>
        <w:widowControl/>
        <w:spacing w:line="600" w:lineRule="exact"/>
        <w:jc w:val="left"/>
        <w:rPr>
          <w:rFonts w:ascii="黑体" w:hAnsi="黑体" w:eastAsia="黑体" w:cs="黑体"/>
          <w:bCs/>
          <w:sz w:val="32"/>
          <w:szCs w:val="32"/>
        </w:rPr>
      </w:pPr>
    </w:p>
    <w:p w14:paraId="77A34A25">
      <w:pPr>
        <w:tabs>
          <w:tab w:val="left" w:pos="2728"/>
        </w:tabs>
        <w:jc w:val="center"/>
        <w:rPr>
          <w:rFonts w:ascii="黑体" w:hAnsi="Times New Roman" w:eastAsia="黑体" w:cs="Times New Roman"/>
          <w:sz w:val="48"/>
          <w:szCs w:val="48"/>
        </w:rPr>
      </w:pPr>
    </w:p>
    <w:p w14:paraId="2D45AF20">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0463692A">
      <w:pPr>
        <w:widowControl/>
        <w:spacing w:after="160" w:line="580" w:lineRule="exact"/>
        <w:ind w:firstLine="640" w:firstLineChars="200"/>
        <w:rPr>
          <w:rFonts w:ascii="Times New Roman" w:hAnsi="Times New Roman" w:eastAsia="黑体" w:cs="Times New Roman"/>
          <w:sz w:val="32"/>
          <w:szCs w:val="32"/>
        </w:rPr>
      </w:pPr>
    </w:p>
    <w:p w14:paraId="2CEB3174">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第一部分单位概况</w:t>
      </w:r>
    </w:p>
    <w:p w14:paraId="7143C77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14:paraId="71866B9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719234E8">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14:paraId="1053F88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6C12AF8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31E28BB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552639A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35CE545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3CE2EF3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5F23221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0B0421F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196F994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501317E2">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14:paraId="52763BA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6EF5E34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3DD0155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64BDFA2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63CA0CC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54A1047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5F4C148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46093E4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22090D0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6F242F6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0D9DB4E9">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7D901DE1">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7EEFF236">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第一部分单位概况</w:t>
      </w:r>
    </w:p>
    <w:p w14:paraId="4FDB0253">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14:paraId="37B8D83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负责民族路步行街升级改造及辖区内服务性保障工作；负责落实应急管理责任，制定突发事件应急预案，组织开展应急演练，协助上级有关部门依法履行安全生产监督管理职责；负责招商引资项目信息的搜集和项目跑办工作；负责各类统计报表的统计、汇总、分析和上报工作；负责循环经济、金融、流通、区域经济协作等工作。</w:t>
      </w:r>
    </w:p>
    <w:p w14:paraId="43ED8B89">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4AC4090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从决算编报单位构成看，纳入2024年度本部门决算汇编范围的独立核算单位（以下简称“单位”）共1个，具体情况如下：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3E1DE48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石家庄市新华区民族路步行街服务中心</w:t>
            </w:r>
          </w:p>
        </w:tc>
        <w:tc>
          <w:tcPr>
            <w:tcW w:w="2445" w:type="dxa"/>
          </w:tcPr>
          <w:p w14:paraId="2E443189">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财政补助事业单位</w:t>
            </w:r>
          </w:p>
        </w:tc>
        <w:tc>
          <w:tcPr>
            <w:tcW w:w="2665" w:type="dxa"/>
          </w:tcPr>
          <w:p w14:paraId="3FEF84E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财政性资金基本保证</w:t>
            </w:r>
          </w:p>
        </w:tc>
      </w:tr>
    </w:tbl>
    <w:p w14:paraId="3AB629F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41A28303">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部门（单位）：石家庄市新华区民族路步行街服务中心</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39721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A45B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AB027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D4173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F12A3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359.95</w:t>
            </w:r>
          </w:p>
        </w:tc>
        <w:tc>
          <w:tcPr>
            <w:tcW w:w="1361" w:type="pct"/>
            <w:gridSpan w:val="2"/>
            <w:tcBorders>
              <w:top w:val="nil"/>
              <w:left w:val="nil"/>
              <w:bottom w:val="single" w:color="000000" w:sz="4" w:space="0"/>
              <w:right w:val="single" w:color="000000" w:sz="4" w:space="0"/>
            </w:tcBorders>
            <w:noWrap/>
            <w:vAlign w:val="center"/>
          </w:tcPr>
          <w:p w14:paraId="6042D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359.65</w:t>
            </w: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A876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BFF2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0"/>
                <w:iCs w:val="0"/>
                <w:color w:val="000000"/>
                <w:sz w:val="20"/>
                <w:szCs w:val="20"/>
                <w:highlight w:val="none"/>
                <w:u w:val="none"/>
              </w:rPr>
            </w:pP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1BBD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EB671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0"/>
                <w:iCs w:val="0"/>
                <w:color w:val="000000"/>
                <w:sz w:val="20"/>
                <w:szCs w:val="20"/>
                <w:highlight w:val="none"/>
                <w:u w:val="none"/>
              </w:rPr>
            </w:pP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EF842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B84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6C2E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0"/>
                <w:iCs w:val="0"/>
                <w:color w:val="000000"/>
                <w:sz w:val="20"/>
                <w:szCs w:val="20"/>
                <w:highlight w:val="none"/>
                <w:u w:val="none"/>
              </w:rPr>
            </w:pP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7A2EF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C3A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7D1CB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0"/>
                <w:iCs w:val="0"/>
                <w:color w:val="000000"/>
                <w:sz w:val="20"/>
                <w:szCs w:val="20"/>
                <w:highlight w:val="none"/>
                <w:u w:val="none"/>
              </w:rPr>
            </w:pP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471F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FED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653E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0"/>
                <w:iCs w:val="0"/>
                <w:color w:val="000000"/>
                <w:sz w:val="20"/>
                <w:szCs w:val="20"/>
                <w:highlight w:val="none"/>
                <w:u w:val="none"/>
              </w:rPr>
            </w:pP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295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0"/>
                <w:iCs w:val="0"/>
                <w:color w:val="000000"/>
                <w:sz w:val="20"/>
                <w:szCs w:val="20"/>
                <w:highlight w:val="none"/>
                <w:u w:val="none"/>
              </w:rPr>
            </w:pP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2621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522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0"/>
                <w:iCs w:val="0"/>
                <w:color w:val="000000"/>
                <w:sz w:val="20"/>
                <w:szCs w:val="20"/>
                <w:highlight w:val="none"/>
                <w:u w:val="none"/>
              </w:rPr>
            </w:pP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8C11D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0.30</w:t>
            </w: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35C25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0"/>
                <w:iCs w:val="0"/>
                <w:color w:val="000000"/>
                <w:sz w:val="20"/>
                <w:szCs w:val="20"/>
                <w:highlight w:val="none"/>
                <w:u w:val="none"/>
              </w:rPr>
            </w:pP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0"/>
                <w:iCs w:val="0"/>
                <w:color w:val="000000"/>
                <w:sz w:val="20"/>
                <w:szCs w:val="20"/>
                <w:highlight w:val="none"/>
                <w:u w:val="none"/>
              </w:rPr>
            </w:pP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D18D8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0"/>
                <w:iCs w:val="0"/>
                <w:color w:val="000000"/>
                <w:sz w:val="20"/>
                <w:szCs w:val="20"/>
                <w:highlight w:val="none"/>
                <w:u w:val="none"/>
              </w:rPr>
            </w:pP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0"/>
                <w:iCs w:val="0"/>
                <w:color w:val="000000"/>
                <w:sz w:val="20"/>
                <w:szCs w:val="20"/>
                <w:highlight w:val="none"/>
                <w:u w:val="none"/>
              </w:rPr>
            </w:pP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0"/>
                <w:iCs w:val="0"/>
                <w:color w:val="000000"/>
                <w:sz w:val="20"/>
                <w:szCs w:val="20"/>
                <w:highlight w:val="none"/>
                <w:u w:val="none"/>
              </w:rPr>
            </w:pP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0"/>
                <w:iCs w:val="0"/>
                <w:color w:val="000000"/>
                <w:sz w:val="20"/>
                <w:szCs w:val="20"/>
                <w:highlight w:val="none"/>
                <w:u w:val="none"/>
              </w:rPr>
            </w:pP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0"/>
                <w:iCs w:val="0"/>
                <w:color w:val="000000"/>
                <w:sz w:val="20"/>
                <w:szCs w:val="20"/>
                <w:highlight w:val="none"/>
                <w:u w:val="none"/>
              </w:rPr>
            </w:pP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0"/>
                <w:iCs w:val="0"/>
                <w:color w:val="000000"/>
                <w:sz w:val="20"/>
                <w:szCs w:val="20"/>
                <w:highlight w:val="none"/>
                <w:u w:val="none"/>
              </w:rPr>
            </w:pP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0"/>
                <w:iCs w:val="0"/>
                <w:color w:val="000000"/>
                <w:sz w:val="20"/>
                <w:szCs w:val="20"/>
                <w:highlight w:val="none"/>
                <w:u w:val="none"/>
              </w:rPr>
            </w:pP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0"/>
                <w:iCs w:val="0"/>
                <w:color w:val="000000"/>
                <w:sz w:val="20"/>
                <w:szCs w:val="20"/>
                <w:highlight w:val="none"/>
                <w:u w:val="none"/>
              </w:rPr>
            </w:pP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0"/>
                <w:iCs w:val="0"/>
                <w:color w:val="000000"/>
                <w:sz w:val="20"/>
                <w:szCs w:val="20"/>
                <w:highlight w:val="none"/>
                <w:u w:val="none"/>
              </w:rPr>
            </w:pP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0"/>
                <w:iCs w:val="0"/>
                <w:color w:val="000000"/>
                <w:sz w:val="20"/>
                <w:szCs w:val="20"/>
                <w:highlight w:val="none"/>
                <w:u w:val="none"/>
              </w:rPr>
            </w:pP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0"/>
                <w:iCs w:val="0"/>
                <w:color w:val="000000"/>
                <w:sz w:val="20"/>
                <w:szCs w:val="20"/>
                <w:highlight w:val="none"/>
                <w:u w:val="none"/>
              </w:rPr>
            </w:pP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219108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0"/>
                <w:iCs w:val="0"/>
                <w:color w:val="000000"/>
                <w:sz w:val="20"/>
                <w:szCs w:val="20"/>
                <w:highlight w:val="none"/>
                <w:u w:val="none"/>
              </w:rPr>
            </w:pP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0"/>
                <w:iCs w:val="0"/>
                <w:color w:val="000000"/>
                <w:sz w:val="20"/>
                <w:szCs w:val="20"/>
                <w:highlight w:val="none"/>
                <w:u w:val="none"/>
              </w:rPr>
            </w:pP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0"/>
                <w:iCs w:val="0"/>
                <w:color w:val="000000"/>
                <w:sz w:val="20"/>
                <w:szCs w:val="20"/>
                <w:highlight w:val="none"/>
                <w:u w:val="none"/>
              </w:rPr>
            </w:pP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0"/>
                <w:iCs w:val="0"/>
                <w:color w:val="000000"/>
                <w:sz w:val="20"/>
                <w:szCs w:val="20"/>
                <w:highlight w:val="none"/>
                <w:u w:val="none"/>
              </w:rPr>
            </w:pP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F7B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359.95</w:t>
            </w:r>
          </w:p>
        </w:tc>
        <w:tc>
          <w:tcPr>
            <w:tcW w:w="1361" w:type="pct"/>
            <w:gridSpan w:val="2"/>
            <w:tcBorders>
              <w:top w:val="nil"/>
              <w:left w:val="nil"/>
              <w:bottom w:val="single" w:color="000000" w:sz="4" w:space="0"/>
              <w:right w:val="single" w:color="000000" w:sz="4" w:space="0"/>
            </w:tcBorders>
            <w:noWrap/>
            <w:vAlign w:val="center"/>
          </w:tcPr>
          <w:p w14:paraId="2FBF6D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AA10C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359.95</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A3D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5975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0"/>
                <w:iCs w:val="0"/>
                <w:color w:val="000000"/>
                <w:sz w:val="20"/>
                <w:szCs w:val="20"/>
                <w:highlight w:val="none"/>
                <w:u w:val="none"/>
              </w:rPr>
            </w:pP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F69D3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533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84AA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0"/>
                <w:iCs w:val="0"/>
                <w:color w:val="000000"/>
                <w:sz w:val="20"/>
                <w:szCs w:val="20"/>
                <w:highlight w:val="none"/>
                <w:u w:val="none"/>
              </w:rPr>
            </w:pP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0"/>
                <w:iCs w:val="0"/>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70E1E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359.95</w:t>
            </w:r>
          </w:p>
        </w:tc>
        <w:tc>
          <w:tcPr>
            <w:tcW w:w="1361" w:type="pct"/>
            <w:gridSpan w:val="2"/>
            <w:tcBorders>
              <w:top w:val="nil"/>
              <w:left w:val="nil"/>
              <w:bottom w:val="single" w:color="000000" w:sz="4" w:space="0"/>
              <w:right w:val="single" w:color="000000" w:sz="4" w:space="0"/>
            </w:tcBorders>
            <w:noWrap/>
            <w:vAlign w:val="center"/>
          </w:tcPr>
          <w:p w14:paraId="2B01AA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9A5A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359.95</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50B55D9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77D72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部门（单位）：石家庄市新华区民族路步行街服务中心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2435B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FE0E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19F8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CD2CD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CF838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EC5CA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68DD8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11F5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40809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F7A2E0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00E84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2E028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C1BC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EBDB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D5BB202">
            <w:pPr>
              <w:jc w:val="center"/>
              <w:rPr>
                <w:rFonts w:hint="eastAsia" w:ascii="宋体" w:hAnsi="宋体" w:eastAsia="宋体" w:cs="宋体"/>
                <w:i w:val="0"/>
                <w:iCs w:val="0"/>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2E5E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B734D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F5C4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0ECB15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1589FB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1299A0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91B64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393016C">
            <w:pPr>
              <w:jc w:val="center"/>
              <w:rPr>
                <w:rFonts w:hint="eastAsia" w:ascii="宋体" w:hAnsi="宋体" w:eastAsia="宋体" w:cs="宋体"/>
                <w:i w:val="0"/>
                <w:iCs w:val="0"/>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B02CA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D536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D499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A316C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CD27F3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F10B01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26CD8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973235">
            <w:pPr>
              <w:jc w:val="center"/>
              <w:rPr>
                <w:rFonts w:hint="eastAsia" w:ascii="宋体" w:hAnsi="宋体" w:eastAsia="宋体" w:cs="宋体"/>
                <w:i w:val="0"/>
                <w:iCs w:val="0"/>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41993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E650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3B73D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AC1955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ABCFD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1357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CA04C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359.95</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359.95</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0"/>
                <w:iCs w:val="0"/>
                <w:color w:val="000000"/>
                <w:sz w:val="20"/>
                <w:szCs w:val="20"/>
                <w:highlight w:val="none"/>
                <w:u w:val="none"/>
              </w:rPr>
            </w:pP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359.65</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359.65</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A4677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8C6FF6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20199</w:t>
            </w:r>
          </w:p>
        </w:tc>
        <w:tc>
          <w:tcPr>
            <w:tcW w:w="1160" w:type="dxa"/>
            <w:tcBorders>
              <w:top w:val="nil"/>
              <w:left w:val="nil"/>
              <w:bottom w:val="single" w:color="000000" w:sz="4" w:space="0"/>
              <w:right w:val="single" w:color="000000" w:sz="4" w:space="0"/>
            </w:tcBorders>
            <w:noWrap/>
            <w:vAlign w:val="center"/>
          </w:tcPr>
          <w:p w14:paraId="464C3AB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其他一般公共服务支出</w:t>
            </w:r>
          </w:p>
        </w:tc>
        <w:tc>
          <w:tcPr>
            <w:tcW w:w="1037" w:type="dxa"/>
            <w:tcBorders>
              <w:top w:val="nil"/>
              <w:left w:val="nil"/>
              <w:bottom w:val="single" w:color="000000" w:sz="4" w:space="0"/>
              <w:right w:val="single" w:color="000000" w:sz="4" w:space="0"/>
            </w:tcBorders>
            <w:noWrap/>
            <w:vAlign w:val="center"/>
          </w:tcPr>
          <w:p w14:paraId="0A2140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359.65</w:t>
            </w:r>
          </w:p>
        </w:tc>
        <w:tc>
          <w:tcPr>
            <w:tcW w:w="1037" w:type="dxa"/>
            <w:tcBorders>
              <w:top w:val="nil"/>
              <w:left w:val="nil"/>
              <w:bottom w:val="single" w:color="000000" w:sz="4" w:space="0"/>
              <w:right w:val="single" w:color="000000" w:sz="4" w:space="0"/>
            </w:tcBorders>
            <w:noWrap/>
            <w:vAlign w:val="center"/>
          </w:tcPr>
          <w:p w14:paraId="7C3BA1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359.65</w:t>
            </w:r>
          </w:p>
        </w:tc>
        <w:tc>
          <w:tcPr>
            <w:tcW w:w="1037" w:type="dxa"/>
            <w:tcBorders>
              <w:top w:val="nil"/>
              <w:left w:val="nil"/>
              <w:bottom w:val="single" w:color="000000" w:sz="4" w:space="0"/>
              <w:right w:val="single" w:color="000000" w:sz="4" w:space="0"/>
            </w:tcBorders>
            <w:noWrap/>
            <w:vAlign w:val="center"/>
          </w:tcPr>
          <w:p w14:paraId="2413DE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1C726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F039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4E7F5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ED60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55FFE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503459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2019999</w:t>
            </w:r>
          </w:p>
        </w:tc>
        <w:tc>
          <w:tcPr>
            <w:tcW w:w="1160" w:type="dxa"/>
            <w:tcBorders>
              <w:top w:val="nil"/>
              <w:left w:val="nil"/>
              <w:bottom w:val="single" w:color="000000" w:sz="4" w:space="0"/>
              <w:right w:val="single" w:color="000000" w:sz="4" w:space="0"/>
            </w:tcBorders>
            <w:noWrap/>
            <w:vAlign w:val="center"/>
          </w:tcPr>
          <w:p w14:paraId="145AEE2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其他一般公共服务支出</w:t>
            </w:r>
          </w:p>
        </w:tc>
        <w:tc>
          <w:tcPr>
            <w:tcW w:w="1037" w:type="dxa"/>
            <w:tcBorders>
              <w:top w:val="nil"/>
              <w:left w:val="nil"/>
              <w:bottom w:val="single" w:color="000000" w:sz="4" w:space="0"/>
              <w:right w:val="single" w:color="000000" w:sz="4" w:space="0"/>
            </w:tcBorders>
            <w:noWrap/>
            <w:vAlign w:val="center"/>
          </w:tcPr>
          <w:p w14:paraId="328318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359.65</w:t>
            </w:r>
          </w:p>
        </w:tc>
        <w:tc>
          <w:tcPr>
            <w:tcW w:w="1037" w:type="dxa"/>
            <w:tcBorders>
              <w:top w:val="nil"/>
              <w:left w:val="nil"/>
              <w:bottom w:val="single" w:color="000000" w:sz="4" w:space="0"/>
              <w:right w:val="single" w:color="000000" w:sz="4" w:space="0"/>
            </w:tcBorders>
            <w:noWrap/>
            <w:vAlign w:val="center"/>
          </w:tcPr>
          <w:p w14:paraId="159B01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359.65</w:t>
            </w:r>
          </w:p>
        </w:tc>
        <w:tc>
          <w:tcPr>
            <w:tcW w:w="1037" w:type="dxa"/>
            <w:tcBorders>
              <w:top w:val="nil"/>
              <w:left w:val="nil"/>
              <w:bottom w:val="single" w:color="000000" w:sz="4" w:space="0"/>
              <w:right w:val="single" w:color="000000" w:sz="4" w:space="0"/>
            </w:tcBorders>
            <w:noWrap/>
            <w:vAlign w:val="center"/>
          </w:tcPr>
          <w:p w14:paraId="6E29DE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38918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EAE28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73022D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D8C81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5D84E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E9D8AD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4AB7B64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4FA61D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0.30</w:t>
            </w:r>
          </w:p>
        </w:tc>
        <w:tc>
          <w:tcPr>
            <w:tcW w:w="1037" w:type="dxa"/>
            <w:tcBorders>
              <w:top w:val="nil"/>
              <w:left w:val="nil"/>
              <w:bottom w:val="single" w:color="000000" w:sz="4" w:space="0"/>
              <w:right w:val="single" w:color="000000" w:sz="4" w:space="0"/>
            </w:tcBorders>
            <w:noWrap/>
            <w:vAlign w:val="center"/>
          </w:tcPr>
          <w:p w14:paraId="235BBC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0.30</w:t>
            </w:r>
          </w:p>
        </w:tc>
        <w:tc>
          <w:tcPr>
            <w:tcW w:w="1037" w:type="dxa"/>
            <w:tcBorders>
              <w:top w:val="nil"/>
              <w:left w:val="nil"/>
              <w:bottom w:val="single" w:color="000000" w:sz="4" w:space="0"/>
              <w:right w:val="single" w:color="000000" w:sz="4" w:space="0"/>
            </w:tcBorders>
            <w:noWrap/>
            <w:vAlign w:val="center"/>
          </w:tcPr>
          <w:p w14:paraId="128F8E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A2CBC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F6540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1F2E6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5766D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EC6E1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AC38F5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21007</w:t>
            </w:r>
          </w:p>
        </w:tc>
        <w:tc>
          <w:tcPr>
            <w:tcW w:w="1160" w:type="dxa"/>
            <w:tcBorders>
              <w:top w:val="nil"/>
              <w:left w:val="nil"/>
              <w:bottom w:val="single" w:color="000000" w:sz="4" w:space="0"/>
              <w:right w:val="single" w:color="000000" w:sz="4" w:space="0"/>
            </w:tcBorders>
            <w:noWrap/>
            <w:vAlign w:val="center"/>
          </w:tcPr>
          <w:p w14:paraId="326445F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计划生育事务</w:t>
            </w:r>
          </w:p>
        </w:tc>
        <w:tc>
          <w:tcPr>
            <w:tcW w:w="1037" w:type="dxa"/>
            <w:tcBorders>
              <w:top w:val="nil"/>
              <w:left w:val="nil"/>
              <w:bottom w:val="single" w:color="000000" w:sz="4" w:space="0"/>
              <w:right w:val="single" w:color="000000" w:sz="4" w:space="0"/>
            </w:tcBorders>
            <w:noWrap/>
            <w:vAlign w:val="center"/>
          </w:tcPr>
          <w:p w14:paraId="5F3DF8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0.30</w:t>
            </w:r>
          </w:p>
        </w:tc>
        <w:tc>
          <w:tcPr>
            <w:tcW w:w="1037" w:type="dxa"/>
            <w:tcBorders>
              <w:top w:val="nil"/>
              <w:left w:val="nil"/>
              <w:bottom w:val="single" w:color="000000" w:sz="4" w:space="0"/>
              <w:right w:val="single" w:color="000000" w:sz="4" w:space="0"/>
            </w:tcBorders>
            <w:noWrap/>
            <w:vAlign w:val="center"/>
          </w:tcPr>
          <w:p w14:paraId="644A30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0.30</w:t>
            </w:r>
          </w:p>
        </w:tc>
        <w:tc>
          <w:tcPr>
            <w:tcW w:w="1037" w:type="dxa"/>
            <w:tcBorders>
              <w:top w:val="nil"/>
              <w:left w:val="nil"/>
              <w:bottom w:val="single" w:color="000000" w:sz="4" w:space="0"/>
              <w:right w:val="single" w:color="000000" w:sz="4" w:space="0"/>
            </w:tcBorders>
            <w:noWrap/>
            <w:vAlign w:val="center"/>
          </w:tcPr>
          <w:p w14:paraId="3D4AB1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7B7A3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2BBC8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E6C6B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4BB64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4C4CC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B6E609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2100717</w:t>
            </w:r>
          </w:p>
        </w:tc>
        <w:tc>
          <w:tcPr>
            <w:tcW w:w="1160" w:type="dxa"/>
            <w:tcBorders>
              <w:top w:val="nil"/>
              <w:left w:val="nil"/>
              <w:bottom w:val="single" w:color="000000" w:sz="4" w:space="0"/>
              <w:right w:val="single" w:color="000000" w:sz="4" w:space="0"/>
            </w:tcBorders>
            <w:noWrap/>
            <w:vAlign w:val="center"/>
          </w:tcPr>
          <w:p w14:paraId="12A3A7D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计划生育服务</w:t>
            </w:r>
          </w:p>
        </w:tc>
        <w:tc>
          <w:tcPr>
            <w:tcW w:w="1037" w:type="dxa"/>
            <w:tcBorders>
              <w:top w:val="nil"/>
              <w:left w:val="nil"/>
              <w:bottom w:val="single" w:color="000000" w:sz="4" w:space="0"/>
              <w:right w:val="single" w:color="000000" w:sz="4" w:space="0"/>
            </w:tcBorders>
            <w:noWrap/>
            <w:vAlign w:val="center"/>
          </w:tcPr>
          <w:p w14:paraId="5E99C98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0.30</w:t>
            </w:r>
          </w:p>
        </w:tc>
        <w:tc>
          <w:tcPr>
            <w:tcW w:w="1037" w:type="dxa"/>
            <w:tcBorders>
              <w:top w:val="nil"/>
              <w:left w:val="nil"/>
              <w:bottom w:val="single" w:color="000000" w:sz="4" w:space="0"/>
              <w:right w:val="single" w:color="000000" w:sz="4" w:space="0"/>
            </w:tcBorders>
            <w:noWrap/>
            <w:vAlign w:val="center"/>
          </w:tcPr>
          <w:p w14:paraId="0A6342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0.30</w:t>
            </w:r>
          </w:p>
        </w:tc>
        <w:tc>
          <w:tcPr>
            <w:tcW w:w="1037" w:type="dxa"/>
            <w:tcBorders>
              <w:top w:val="nil"/>
              <w:left w:val="nil"/>
              <w:bottom w:val="single" w:color="000000" w:sz="4" w:space="0"/>
              <w:right w:val="single" w:color="000000" w:sz="4" w:space="0"/>
            </w:tcBorders>
            <w:noWrap/>
            <w:vAlign w:val="center"/>
          </w:tcPr>
          <w:p w14:paraId="310A69A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03CDF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549D4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5B4D9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AABCF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68CDE5D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部门（单位）：石家庄市新华区民族路步行街服务中心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16B9A4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72F664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17D4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863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23FC8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2DA5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A8C99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E312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5D87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E377F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CF577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48D3FF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A15367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A7CA1D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1B3486">
            <w:pPr>
              <w:jc w:val="center"/>
              <w:rPr>
                <w:rFonts w:hint="eastAsia" w:ascii="宋体" w:hAnsi="宋体" w:eastAsia="宋体" w:cs="宋体"/>
                <w:i w:val="0"/>
                <w:iCs w:val="0"/>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C0E453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D030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B1E08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7865F9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493D3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B3CC0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8210C31">
            <w:pPr>
              <w:jc w:val="center"/>
              <w:rPr>
                <w:rFonts w:hint="eastAsia" w:ascii="宋体" w:hAnsi="宋体" w:eastAsia="宋体" w:cs="宋体"/>
                <w:i w:val="0"/>
                <w:iCs w:val="0"/>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0B67C9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CB0F35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C964F7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D4E6C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90026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591BD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B174657">
            <w:pPr>
              <w:jc w:val="center"/>
              <w:rPr>
                <w:rFonts w:hint="eastAsia" w:ascii="宋体" w:hAnsi="宋体" w:eastAsia="宋体" w:cs="宋体"/>
                <w:i w:val="0"/>
                <w:iCs w:val="0"/>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5C3A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11B6A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F698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D8E7F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98353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71ECD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359.95</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359.65</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0.30</w:t>
            </w: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0"/>
                <w:iCs w:val="0"/>
                <w:color w:val="000000"/>
                <w:sz w:val="20"/>
                <w:szCs w:val="20"/>
                <w:highlight w:val="none"/>
                <w:u w:val="none"/>
              </w:rPr>
            </w:pP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359.65</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359.65</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0"/>
                <w:iCs w:val="0"/>
                <w:color w:val="000000"/>
                <w:sz w:val="20"/>
                <w:szCs w:val="20"/>
                <w:highlight w:val="none"/>
                <w:u w:val="none"/>
              </w:rPr>
            </w:pPr>
          </w:p>
        </w:tc>
      </w:tr>
      <w:tr w14:paraId="467849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9F2E87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20199</w:t>
            </w:r>
          </w:p>
        </w:tc>
        <w:tc>
          <w:tcPr>
            <w:tcW w:w="635" w:type="pct"/>
            <w:tcBorders>
              <w:top w:val="nil"/>
              <w:left w:val="nil"/>
              <w:bottom w:val="single" w:color="000000" w:sz="4" w:space="0"/>
              <w:right w:val="single" w:color="000000" w:sz="4" w:space="0"/>
            </w:tcBorders>
            <w:noWrap/>
            <w:vAlign w:val="center"/>
          </w:tcPr>
          <w:p w14:paraId="64094F2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其他一般公共服务支出</w:t>
            </w:r>
          </w:p>
        </w:tc>
        <w:tc>
          <w:tcPr>
            <w:tcW w:w="603" w:type="pct"/>
            <w:tcBorders>
              <w:top w:val="nil"/>
              <w:left w:val="nil"/>
              <w:bottom w:val="single" w:color="000000" w:sz="4" w:space="0"/>
              <w:right w:val="single" w:color="000000" w:sz="4" w:space="0"/>
            </w:tcBorders>
            <w:noWrap/>
            <w:vAlign w:val="center"/>
          </w:tcPr>
          <w:p w14:paraId="33B81FC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359.65</w:t>
            </w:r>
          </w:p>
        </w:tc>
        <w:tc>
          <w:tcPr>
            <w:tcW w:w="602" w:type="pct"/>
            <w:gridSpan w:val="2"/>
            <w:tcBorders>
              <w:top w:val="nil"/>
              <w:left w:val="nil"/>
              <w:bottom w:val="single" w:color="000000" w:sz="4" w:space="0"/>
              <w:right w:val="single" w:color="000000" w:sz="4" w:space="0"/>
            </w:tcBorders>
            <w:noWrap/>
            <w:vAlign w:val="center"/>
          </w:tcPr>
          <w:p w14:paraId="3EE377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359.65</w:t>
            </w:r>
          </w:p>
        </w:tc>
        <w:tc>
          <w:tcPr>
            <w:tcW w:w="602" w:type="pct"/>
            <w:tcBorders>
              <w:top w:val="nil"/>
              <w:left w:val="nil"/>
              <w:bottom w:val="single" w:color="000000" w:sz="4" w:space="0"/>
              <w:right w:val="single" w:color="000000" w:sz="4" w:space="0"/>
            </w:tcBorders>
            <w:noWrap/>
            <w:vAlign w:val="center"/>
          </w:tcPr>
          <w:p w14:paraId="6BC73870">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008304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CE50B1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6986AE6">
            <w:pPr>
              <w:jc w:val="right"/>
              <w:rPr>
                <w:rFonts w:hint="default" w:ascii="Times New Roman" w:hAnsi="Times New Roman" w:eastAsia="宋体" w:cs="Times New Roman"/>
                <w:i w:val="0"/>
                <w:iCs w:val="0"/>
                <w:color w:val="000000"/>
                <w:sz w:val="20"/>
                <w:szCs w:val="20"/>
                <w:highlight w:val="none"/>
                <w:u w:val="none"/>
              </w:rPr>
            </w:pPr>
          </w:p>
        </w:tc>
      </w:tr>
      <w:tr w14:paraId="664190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17D73A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2019999</w:t>
            </w:r>
          </w:p>
        </w:tc>
        <w:tc>
          <w:tcPr>
            <w:tcW w:w="635" w:type="pct"/>
            <w:tcBorders>
              <w:top w:val="nil"/>
              <w:left w:val="nil"/>
              <w:bottom w:val="single" w:color="000000" w:sz="4" w:space="0"/>
              <w:right w:val="single" w:color="000000" w:sz="4" w:space="0"/>
            </w:tcBorders>
            <w:noWrap/>
            <w:vAlign w:val="center"/>
          </w:tcPr>
          <w:p w14:paraId="388B23A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其他一般公共服务支出</w:t>
            </w:r>
          </w:p>
        </w:tc>
        <w:tc>
          <w:tcPr>
            <w:tcW w:w="603" w:type="pct"/>
            <w:tcBorders>
              <w:top w:val="nil"/>
              <w:left w:val="nil"/>
              <w:bottom w:val="single" w:color="000000" w:sz="4" w:space="0"/>
              <w:right w:val="single" w:color="000000" w:sz="4" w:space="0"/>
            </w:tcBorders>
            <w:noWrap/>
            <w:vAlign w:val="center"/>
          </w:tcPr>
          <w:p w14:paraId="36308ED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359.65</w:t>
            </w:r>
          </w:p>
        </w:tc>
        <w:tc>
          <w:tcPr>
            <w:tcW w:w="602" w:type="pct"/>
            <w:gridSpan w:val="2"/>
            <w:tcBorders>
              <w:top w:val="nil"/>
              <w:left w:val="nil"/>
              <w:bottom w:val="single" w:color="000000" w:sz="4" w:space="0"/>
              <w:right w:val="single" w:color="000000" w:sz="4" w:space="0"/>
            </w:tcBorders>
            <w:noWrap/>
            <w:vAlign w:val="center"/>
          </w:tcPr>
          <w:p w14:paraId="4A258D9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359.65</w:t>
            </w:r>
          </w:p>
        </w:tc>
        <w:tc>
          <w:tcPr>
            <w:tcW w:w="602" w:type="pct"/>
            <w:tcBorders>
              <w:top w:val="nil"/>
              <w:left w:val="nil"/>
              <w:bottom w:val="single" w:color="000000" w:sz="4" w:space="0"/>
              <w:right w:val="single" w:color="000000" w:sz="4" w:space="0"/>
            </w:tcBorders>
            <w:noWrap/>
            <w:vAlign w:val="center"/>
          </w:tcPr>
          <w:p w14:paraId="0A42F0D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6737AC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49E9B8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19F0482">
            <w:pPr>
              <w:jc w:val="right"/>
              <w:rPr>
                <w:rFonts w:hint="default" w:ascii="Times New Roman" w:hAnsi="Times New Roman" w:eastAsia="宋体" w:cs="Times New Roman"/>
                <w:i w:val="0"/>
                <w:iCs w:val="0"/>
                <w:color w:val="000000"/>
                <w:sz w:val="20"/>
                <w:szCs w:val="20"/>
                <w:highlight w:val="none"/>
                <w:u w:val="none"/>
              </w:rPr>
            </w:pPr>
          </w:p>
        </w:tc>
      </w:tr>
      <w:tr w14:paraId="44FFF3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C231F1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584D35E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055E76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0.30</w:t>
            </w:r>
          </w:p>
        </w:tc>
        <w:tc>
          <w:tcPr>
            <w:tcW w:w="602" w:type="pct"/>
            <w:gridSpan w:val="2"/>
            <w:tcBorders>
              <w:top w:val="nil"/>
              <w:left w:val="nil"/>
              <w:bottom w:val="single" w:color="000000" w:sz="4" w:space="0"/>
              <w:right w:val="single" w:color="000000" w:sz="4" w:space="0"/>
            </w:tcBorders>
            <w:noWrap/>
            <w:vAlign w:val="center"/>
          </w:tcPr>
          <w:p w14:paraId="42032BB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C285D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0.30</w:t>
            </w:r>
          </w:p>
        </w:tc>
        <w:tc>
          <w:tcPr>
            <w:tcW w:w="602" w:type="pct"/>
            <w:gridSpan w:val="2"/>
            <w:tcBorders>
              <w:top w:val="nil"/>
              <w:left w:val="nil"/>
              <w:bottom w:val="single" w:color="000000" w:sz="4" w:space="0"/>
              <w:right w:val="single" w:color="000000" w:sz="4" w:space="0"/>
            </w:tcBorders>
            <w:noWrap/>
            <w:vAlign w:val="center"/>
          </w:tcPr>
          <w:p w14:paraId="58495F9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41D7B2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2669C8E">
            <w:pPr>
              <w:jc w:val="right"/>
              <w:rPr>
                <w:rFonts w:hint="default" w:ascii="Times New Roman" w:hAnsi="Times New Roman" w:eastAsia="宋体" w:cs="Times New Roman"/>
                <w:i w:val="0"/>
                <w:iCs w:val="0"/>
                <w:color w:val="000000"/>
                <w:sz w:val="20"/>
                <w:szCs w:val="20"/>
                <w:highlight w:val="none"/>
                <w:u w:val="none"/>
              </w:rPr>
            </w:pPr>
          </w:p>
        </w:tc>
      </w:tr>
      <w:tr w14:paraId="5EC862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D118A1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21007</w:t>
            </w:r>
          </w:p>
        </w:tc>
        <w:tc>
          <w:tcPr>
            <w:tcW w:w="635" w:type="pct"/>
            <w:tcBorders>
              <w:top w:val="nil"/>
              <w:left w:val="nil"/>
              <w:bottom w:val="single" w:color="000000" w:sz="4" w:space="0"/>
              <w:right w:val="single" w:color="000000" w:sz="4" w:space="0"/>
            </w:tcBorders>
            <w:noWrap/>
            <w:vAlign w:val="center"/>
          </w:tcPr>
          <w:p w14:paraId="2E0CA2E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计划生育事务</w:t>
            </w:r>
          </w:p>
        </w:tc>
        <w:tc>
          <w:tcPr>
            <w:tcW w:w="603" w:type="pct"/>
            <w:tcBorders>
              <w:top w:val="nil"/>
              <w:left w:val="nil"/>
              <w:bottom w:val="single" w:color="000000" w:sz="4" w:space="0"/>
              <w:right w:val="single" w:color="000000" w:sz="4" w:space="0"/>
            </w:tcBorders>
            <w:noWrap/>
            <w:vAlign w:val="center"/>
          </w:tcPr>
          <w:p w14:paraId="021F12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0.30</w:t>
            </w:r>
          </w:p>
        </w:tc>
        <w:tc>
          <w:tcPr>
            <w:tcW w:w="602" w:type="pct"/>
            <w:gridSpan w:val="2"/>
            <w:tcBorders>
              <w:top w:val="nil"/>
              <w:left w:val="nil"/>
              <w:bottom w:val="single" w:color="000000" w:sz="4" w:space="0"/>
              <w:right w:val="single" w:color="000000" w:sz="4" w:space="0"/>
            </w:tcBorders>
            <w:noWrap/>
            <w:vAlign w:val="center"/>
          </w:tcPr>
          <w:p w14:paraId="4D6BA11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6A7A9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0.30</w:t>
            </w:r>
          </w:p>
        </w:tc>
        <w:tc>
          <w:tcPr>
            <w:tcW w:w="602" w:type="pct"/>
            <w:gridSpan w:val="2"/>
            <w:tcBorders>
              <w:top w:val="nil"/>
              <w:left w:val="nil"/>
              <w:bottom w:val="single" w:color="000000" w:sz="4" w:space="0"/>
              <w:right w:val="single" w:color="000000" w:sz="4" w:space="0"/>
            </w:tcBorders>
            <w:noWrap/>
            <w:vAlign w:val="center"/>
          </w:tcPr>
          <w:p w14:paraId="25BBE0B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D014E0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77491DF">
            <w:pPr>
              <w:jc w:val="right"/>
              <w:rPr>
                <w:rFonts w:hint="default" w:ascii="Times New Roman" w:hAnsi="Times New Roman" w:eastAsia="宋体" w:cs="Times New Roman"/>
                <w:i w:val="0"/>
                <w:iCs w:val="0"/>
                <w:color w:val="000000"/>
                <w:sz w:val="20"/>
                <w:szCs w:val="20"/>
                <w:highlight w:val="none"/>
                <w:u w:val="none"/>
              </w:rPr>
            </w:pPr>
          </w:p>
        </w:tc>
      </w:tr>
      <w:tr w14:paraId="225367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33D06B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2100717</w:t>
            </w:r>
          </w:p>
        </w:tc>
        <w:tc>
          <w:tcPr>
            <w:tcW w:w="635" w:type="pct"/>
            <w:tcBorders>
              <w:top w:val="nil"/>
              <w:left w:val="nil"/>
              <w:bottom w:val="single" w:color="000000" w:sz="4" w:space="0"/>
              <w:right w:val="single" w:color="000000" w:sz="4" w:space="0"/>
            </w:tcBorders>
            <w:noWrap/>
            <w:vAlign w:val="center"/>
          </w:tcPr>
          <w:p w14:paraId="4426C44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计划生育服务</w:t>
            </w:r>
          </w:p>
        </w:tc>
        <w:tc>
          <w:tcPr>
            <w:tcW w:w="603" w:type="pct"/>
            <w:tcBorders>
              <w:top w:val="nil"/>
              <w:left w:val="nil"/>
              <w:bottom w:val="single" w:color="000000" w:sz="4" w:space="0"/>
              <w:right w:val="single" w:color="000000" w:sz="4" w:space="0"/>
            </w:tcBorders>
            <w:noWrap/>
            <w:vAlign w:val="center"/>
          </w:tcPr>
          <w:p w14:paraId="62ECBA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0.30</w:t>
            </w:r>
          </w:p>
        </w:tc>
        <w:tc>
          <w:tcPr>
            <w:tcW w:w="602" w:type="pct"/>
            <w:gridSpan w:val="2"/>
            <w:tcBorders>
              <w:top w:val="nil"/>
              <w:left w:val="nil"/>
              <w:bottom w:val="single" w:color="000000" w:sz="4" w:space="0"/>
              <w:right w:val="single" w:color="000000" w:sz="4" w:space="0"/>
            </w:tcBorders>
            <w:noWrap/>
            <w:vAlign w:val="center"/>
          </w:tcPr>
          <w:p w14:paraId="5AB5819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03251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0.30</w:t>
            </w:r>
          </w:p>
        </w:tc>
        <w:tc>
          <w:tcPr>
            <w:tcW w:w="602" w:type="pct"/>
            <w:gridSpan w:val="2"/>
            <w:tcBorders>
              <w:top w:val="nil"/>
              <w:left w:val="nil"/>
              <w:bottom w:val="single" w:color="000000" w:sz="4" w:space="0"/>
              <w:right w:val="single" w:color="000000" w:sz="4" w:space="0"/>
            </w:tcBorders>
            <w:noWrap/>
            <w:vAlign w:val="center"/>
          </w:tcPr>
          <w:p w14:paraId="41B2BFC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DB1737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ADA48FB">
            <w:pPr>
              <w:jc w:val="right"/>
              <w:rPr>
                <w:rFonts w:hint="default" w:ascii="Times New Roman" w:hAnsi="Times New Roman" w:eastAsia="宋体" w:cs="Times New Roman"/>
                <w:i w:val="0"/>
                <w:iCs w:val="0"/>
                <w:color w:val="000000"/>
                <w:sz w:val="20"/>
                <w:szCs w:val="20"/>
                <w:highlight w:val="none"/>
                <w:u w:val="none"/>
              </w:rPr>
            </w:pP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47632FC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部门（单位）：石家庄市新华区民族路步行街服务中心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EF496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5E334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73BC9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4810C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D3FEA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E95B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08FA1D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D084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214C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FDFBC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6C00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F795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7C6BA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6CE88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88A82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CCBE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B8F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2A62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358949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10FC7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B611E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80BD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359.95</w:t>
            </w:r>
          </w:p>
        </w:tc>
        <w:tc>
          <w:tcPr>
            <w:tcW w:w="895" w:type="pct"/>
            <w:gridSpan w:val="2"/>
            <w:tcBorders>
              <w:top w:val="nil"/>
              <w:left w:val="nil"/>
              <w:bottom w:val="single" w:color="000000" w:sz="4" w:space="0"/>
              <w:right w:val="single" w:color="000000" w:sz="4" w:space="0"/>
            </w:tcBorders>
            <w:noWrap/>
            <w:vAlign w:val="center"/>
          </w:tcPr>
          <w:p w14:paraId="488DC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359.65</w:t>
            </w: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359.65</w:t>
            </w: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0"/>
                <w:iCs w:val="0"/>
                <w:color w:val="000000"/>
                <w:sz w:val="20"/>
                <w:szCs w:val="20"/>
                <w:highlight w:val="none"/>
                <w:u w:val="none"/>
              </w:rPr>
            </w:pP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F5D0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18928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0"/>
                <w:iCs w:val="0"/>
                <w:color w:val="000000"/>
                <w:sz w:val="20"/>
                <w:szCs w:val="20"/>
                <w:highlight w:val="none"/>
                <w:u w:val="none"/>
              </w:rPr>
            </w:pP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DBF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5BEBB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0"/>
                <w:iCs w:val="0"/>
                <w:color w:val="000000"/>
                <w:sz w:val="20"/>
                <w:szCs w:val="20"/>
                <w:highlight w:val="none"/>
                <w:u w:val="none"/>
              </w:rPr>
            </w:pP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C31DE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0"/>
                <w:iCs w:val="0"/>
                <w:color w:val="000000"/>
                <w:sz w:val="20"/>
                <w:szCs w:val="20"/>
                <w:highlight w:val="none"/>
                <w:u w:val="none"/>
              </w:rPr>
            </w:pP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119B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0"/>
                <w:iCs w:val="0"/>
                <w:color w:val="000000"/>
                <w:sz w:val="20"/>
                <w:szCs w:val="20"/>
                <w:highlight w:val="none"/>
                <w:u w:val="none"/>
              </w:rPr>
            </w:pP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3EF49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0"/>
                <w:iCs w:val="0"/>
                <w:color w:val="000000"/>
                <w:sz w:val="20"/>
                <w:szCs w:val="20"/>
                <w:highlight w:val="none"/>
                <w:u w:val="none"/>
              </w:rPr>
            </w:pP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0"/>
                <w:iCs w:val="0"/>
                <w:color w:val="000000"/>
                <w:sz w:val="20"/>
                <w:szCs w:val="20"/>
                <w:highlight w:val="none"/>
                <w:u w:val="none"/>
              </w:rPr>
            </w:pP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0"/>
                <w:iCs w:val="0"/>
                <w:color w:val="000000"/>
                <w:sz w:val="20"/>
                <w:szCs w:val="20"/>
                <w:highlight w:val="none"/>
                <w:u w:val="none"/>
              </w:rPr>
            </w:pP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8294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0.30</w:t>
            </w: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0.30</w:t>
            </w: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0"/>
                <w:iCs w:val="0"/>
                <w:color w:val="000000"/>
                <w:sz w:val="20"/>
                <w:szCs w:val="20"/>
                <w:highlight w:val="none"/>
                <w:u w:val="none"/>
              </w:rPr>
            </w:pP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59596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0"/>
                <w:iCs w:val="0"/>
                <w:color w:val="000000"/>
                <w:sz w:val="20"/>
                <w:szCs w:val="20"/>
                <w:highlight w:val="none"/>
                <w:u w:val="none"/>
              </w:rPr>
            </w:pP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0"/>
                <w:iCs w:val="0"/>
                <w:color w:val="000000"/>
                <w:sz w:val="20"/>
                <w:szCs w:val="20"/>
                <w:highlight w:val="none"/>
                <w:u w:val="none"/>
              </w:rPr>
            </w:pP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AFE1C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0"/>
                <w:iCs w:val="0"/>
                <w:color w:val="000000"/>
                <w:sz w:val="20"/>
                <w:szCs w:val="20"/>
                <w:highlight w:val="none"/>
                <w:u w:val="none"/>
              </w:rPr>
            </w:pP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0"/>
                <w:iCs w:val="0"/>
                <w:color w:val="000000"/>
                <w:sz w:val="20"/>
                <w:szCs w:val="20"/>
                <w:highlight w:val="none"/>
                <w:u w:val="none"/>
              </w:rPr>
            </w:pP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0"/>
                <w:iCs w:val="0"/>
                <w:color w:val="000000"/>
                <w:sz w:val="20"/>
                <w:szCs w:val="20"/>
                <w:highlight w:val="none"/>
                <w:u w:val="none"/>
              </w:rPr>
            </w:pP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0"/>
                <w:iCs w:val="0"/>
                <w:color w:val="000000"/>
                <w:sz w:val="20"/>
                <w:szCs w:val="20"/>
                <w:highlight w:val="none"/>
                <w:u w:val="none"/>
              </w:rPr>
            </w:pP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0"/>
                <w:iCs w:val="0"/>
                <w:color w:val="000000"/>
                <w:sz w:val="20"/>
                <w:szCs w:val="20"/>
                <w:highlight w:val="none"/>
                <w:u w:val="none"/>
              </w:rPr>
            </w:pP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0"/>
                <w:iCs w:val="0"/>
                <w:color w:val="000000"/>
                <w:sz w:val="20"/>
                <w:szCs w:val="20"/>
                <w:highlight w:val="none"/>
                <w:u w:val="none"/>
              </w:rPr>
            </w:pP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0"/>
                <w:iCs w:val="0"/>
                <w:color w:val="000000"/>
                <w:sz w:val="20"/>
                <w:szCs w:val="20"/>
                <w:highlight w:val="none"/>
                <w:u w:val="none"/>
              </w:rPr>
            </w:pP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0"/>
                <w:iCs w:val="0"/>
                <w:color w:val="000000"/>
                <w:sz w:val="20"/>
                <w:szCs w:val="20"/>
                <w:highlight w:val="none"/>
                <w:u w:val="none"/>
              </w:rPr>
            </w:pP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0"/>
                <w:iCs w:val="0"/>
                <w:color w:val="000000"/>
                <w:sz w:val="20"/>
                <w:szCs w:val="20"/>
                <w:highlight w:val="none"/>
                <w:u w:val="none"/>
              </w:rPr>
            </w:pP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0"/>
                <w:iCs w:val="0"/>
                <w:color w:val="000000"/>
                <w:sz w:val="20"/>
                <w:szCs w:val="20"/>
                <w:highlight w:val="none"/>
                <w:u w:val="none"/>
              </w:rPr>
            </w:pP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0"/>
                <w:iCs w:val="0"/>
                <w:color w:val="000000"/>
                <w:sz w:val="20"/>
                <w:szCs w:val="20"/>
                <w:highlight w:val="none"/>
                <w:u w:val="none"/>
              </w:rPr>
            </w:pP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0"/>
                <w:iCs w:val="0"/>
                <w:color w:val="000000"/>
                <w:sz w:val="20"/>
                <w:szCs w:val="20"/>
                <w:highlight w:val="none"/>
                <w:u w:val="none"/>
              </w:rPr>
            </w:pP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0"/>
                <w:iCs w:val="0"/>
                <w:color w:val="000000"/>
                <w:sz w:val="20"/>
                <w:szCs w:val="20"/>
                <w:highlight w:val="none"/>
                <w:u w:val="none"/>
              </w:rPr>
            </w:pP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0"/>
                <w:iCs w:val="0"/>
                <w:color w:val="000000"/>
                <w:sz w:val="20"/>
                <w:szCs w:val="20"/>
                <w:highlight w:val="none"/>
                <w:u w:val="none"/>
              </w:rPr>
            </w:pP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0"/>
                <w:iCs w:val="0"/>
                <w:color w:val="000000"/>
                <w:sz w:val="20"/>
                <w:szCs w:val="20"/>
                <w:highlight w:val="none"/>
                <w:u w:val="none"/>
              </w:rPr>
            </w:pP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2A8AD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359.95</w:t>
            </w:r>
          </w:p>
        </w:tc>
        <w:tc>
          <w:tcPr>
            <w:tcW w:w="895" w:type="pct"/>
            <w:gridSpan w:val="2"/>
            <w:tcBorders>
              <w:top w:val="nil"/>
              <w:left w:val="nil"/>
              <w:bottom w:val="single" w:color="000000" w:sz="4" w:space="0"/>
              <w:right w:val="single" w:color="000000" w:sz="4" w:space="0"/>
            </w:tcBorders>
            <w:noWrap/>
            <w:vAlign w:val="center"/>
          </w:tcPr>
          <w:p w14:paraId="2F9B64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05805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359.95</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359.95</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0"/>
                <w:iCs w:val="0"/>
                <w:color w:val="000000"/>
                <w:sz w:val="20"/>
                <w:szCs w:val="20"/>
                <w:highlight w:val="none"/>
                <w:u w:val="none"/>
              </w:rPr>
            </w:pP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38A4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0"/>
                <w:iCs w:val="0"/>
                <w:color w:val="000000"/>
                <w:sz w:val="20"/>
                <w:szCs w:val="20"/>
                <w:highlight w:val="none"/>
                <w:u w:val="none"/>
              </w:rPr>
            </w:pP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0"/>
                <w:iCs w:val="0"/>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0"/>
                <w:iCs w:val="0"/>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0"/>
                <w:iCs w:val="0"/>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96E2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359.95</w:t>
            </w:r>
          </w:p>
        </w:tc>
        <w:tc>
          <w:tcPr>
            <w:tcW w:w="895" w:type="pct"/>
            <w:gridSpan w:val="2"/>
            <w:tcBorders>
              <w:top w:val="nil"/>
              <w:left w:val="nil"/>
              <w:bottom w:val="single" w:color="000000" w:sz="8" w:space="0"/>
              <w:right w:val="single" w:color="000000" w:sz="4" w:space="0"/>
            </w:tcBorders>
            <w:noWrap/>
            <w:vAlign w:val="center"/>
          </w:tcPr>
          <w:p w14:paraId="0E12E0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06B87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359.95</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359.95</w:t>
            </w:r>
          </w:p>
          <w:p w14:paraId="46956F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0"/>
                <w:iCs w:val="0"/>
                <w:color w:val="000000"/>
                <w:sz w:val="20"/>
                <w:szCs w:val="20"/>
                <w:highlight w:val="none"/>
                <w:u w:val="none"/>
              </w:rPr>
            </w:pP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5F954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041"/>
        <w:gridCol w:w="2216"/>
        <w:gridCol w:w="1180"/>
        <w:gridCol w:w="755"/>
        <w:gridCol w:w="791"/>
        <w:gridCol w:w="378"/>
        <w:gridCol w:w="1239"/>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编制部门（单位）：石家庄市新华区民族路步行街服务中心</w:t>
            </w:r>
          </w:p>
        </w:tc>
        <w:tc>
          <w:tcPr>
            <w:tcW w:w="1541" w:type="pct"/>
            <w:gridSpan w:val="2"/>
            <w:tcBorders>
              <w:top w:val="nil"/>
              <w:left w:val="nil"/>
              <w:bottom w:val="single" w:color="auto" w:sz="4" w:space="0"/>
              <w:right w:val="nil"/>
            </w:tcBorders>
            <w:noWrap/>
            <w:vAlign w:val="bottom"/>
          </w:tcPr>
          <w:p w14:paraId="6F8D6BB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63AE802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67FD3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1E354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03F01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743EB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B17A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755C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5175C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7BBA312">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4227AC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9084284">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9BF0FE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17381C9">
            <w:pPr>
              <w:jc w:val="center"/>
              <w:rPr>
                <w:rFonts w:hint="eastAsia" w:ascii="宋体" w:hAnsi="宋体" w:eastAsia="宋体" w:cs="宋体"/>
                <w:i w:val="0"/>
                <w:iCs w:val="0"/>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E32E97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1337A1D9">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3715D8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512C71">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C43699C">
            <w:pPr>
              <w:jc w:val="center"/>
              <w:rPr>
                <w:rFonts w:hint="eastAsia" w:ascii="宋体" w:hAnsi="宋体" w:eastAsia="宋体" w:cs="宋体"/>
                <w:i w:val="0"/>
                <w:iCs w:val="0"/>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682F9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2A50B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359.95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359.65</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0.30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359.65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359.65</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0"/>
                <w:iCs w:val="0"/>
                <w:color w:val="000000"/>
                <w:sz w:val="20"/>
                <w:szCs w:val="20"/>
                <w:highlight w:val="none"/>
                <w:u w:val="none"/>
              </w:rPr>
            </w:pPr>
          </w:p>
        </w:tc>
      </w:tr>
      <w:tr w14:paraId="44A2CE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8FB17F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20199</w:t>
            </w:r>
          </w:p>
        </w:tc>
        <w:tc>
          <w:tcPr>
            <w:tcW w:w="756" w:type="pct"/>
            <w:tcBorders>
              <w:top w:val="single" w:color="auto" w:sz="4" w:space="0"/>
              <w:left w:val="single" w:color="auto" w:sz="4" w:space="0"/>
              <w:bottom w:val="single" w:color="auto" w:sz="4" w:space="0"/>
              <w:right w:val="single" w:color="auto" w:sz="4" w:space="0"/>
            </w:tcBorders>
            <w:noWrap/>
            <w:vAlign w:val="center"/>
          </w:tcPr>
          <w:p w14:paraId="23B3FF6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7D0CED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359.65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47BA9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359.65</w:t>
            </w:r>
          </w:p>
        </w:tc>
        <w:tc>
          <w:tcPr>
            <w:tcW w:w="1218" w:type="pct"/>
            <w:tcBorders>
              <w:top w:val="single" w:color="auto" w:sz="4" w:space="0"/>
              <w:left w:val="single" w:color="auto" w:sz="4" w:space="0"/>
              <w:bottom w:val="single" w:color="auto" w:sz="4" w:space="0"/>
              <w:right w:val="single" w:color="auto" w:sz="4" w:space="0"/>
            </w:tcBorders>
            <w:noWrap/>
            <w:vAlign w:val="center"/>
          </w:tcPr>
          <w:p w14:paraId="2DDF9F0F">
            <w:pPr>
              <w:jc w:val="right"/>
              <w:rPr>
                <w:rFonts w:hint="default" w:ascii="Times New Roman" w:hAnsi="Times New Roman" w:eastAsia="宋体" w:cs="Times New Roman"/>
                <w:i w:val="0"/>
                <w:iCs w:val="0"/>
                <w:color w:val="000000"/>
                <w:sz w:val="20"/>
                <w:szCs w:val="20"/>
                <w:highlight w:val="none"/>
                <w:u w:val="none"/>
              </w:rPr>
            </w:pPr>
          </w:p>
        </w:tc>
      </w:tr>
      <w:tr w14:paraId="08401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202E6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2019999</w:t>
            </w:r>
          </w:p>
        </w:tc>
        <w:tc>
          <w:tcPr>
            <w:tcW w:w="756" w:type="pct"/>
            <w:tcBorders>
              <w:top w:val="single" w:color="auto" w:sz="4" w:space="0"/>
              <w:left w:val="single" w:color="auto" w:sz="4" w:space="0"/>
              <w:bottom w:val="single" w:color="auto" w:sz="4" w:space="0"/>
              <w:right w:val="single" w:color="auto" w:sz="4" w:space="0"/>
            </w:tcBorders>
            <w:noWrap/>
            <w:vAlign w:val="center"/>
          </w:tcPr>
          <w:p w14:paraId="000E4FD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8B2E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359.65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886523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359.65</w:t>
            </w:r>
          </w:p>
        </w:tc>
        <w:tc>
          <w:tcPr>
            <w:tcW w:w="1218" w:type="pct"/>
            <w:tcBorders>
              <w:top w:val="single" w:color="auto" w:sz="4" w:space="0"/>
              <w:left w:val="single" w:color="auto" w:sz="4" w:space="0"/>
              <w:bottom w:val="single" w:color="auto" w:sz="4" w:space="0"/>
              <w:right w:val="single" w:color="auto" w:sz="4" w:space="0"/>
            </w:tcBorders>
            <w:noWrap/>
            <w:vAlign w:val="center"/>
          </w:tcPr>
          <w:p w14:paraId="29EF2A45">
            <w:pPr>
              <w:jc w:val="right"/>
              <w:rPr>
                <w:rFonts w:hint="default" w:ascii="Times New Roman" w:hAnsi="Times New Roman" w:eastAsia="宋体" w:cs="Times New Roman"/>
                <w:i w:val="0"/>
                <w:iCs w:val="0"/>
                <w:color w:val="000000"/>
                <w:sz w:val="20"/>
                <w:szCs w:val="20"/>
                <w:highlight w:val="none"/>
                <w:u w:val="none"/>
              </w:rPr>
            </w:pPr>
          </w:p>
        </w:tc>
      </w:tr>
      <w:tr w14:paraId="378BE7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62CCC6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6AD7477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65BF74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04E744B">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97C9FC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0.30</w:t>
            </w:r>
          </w:p>
        </w:tc>
      </w:tr>
      <w:tr w14:paraId="394F45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30D0F3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21007</w:t>
            </w:r>
          </w:p>
        </w:tc>
        <w:tc>
          <w:tcPr>
            <w:tcW w:w="756" w:type="pct"/>
            <w:tcBorders>
              <w:top w:val="single" w:color="auto" w:sz="4" w:space="0"/>
              <w:left w:val="single" w:color="auto" w:sz="4" w:space="0"/>
              <w:bottom w:val="single" w:color="auto" w:sz="4" w:space="0"/>
              <w:right w:val="single" w:color="auto" w:sz="4" w:space="0"/>
            </w:tcBorders>
            <w:noWrap/>
            <w:vAlign w:val="center"/>
          </w:tcPr>
          <w:p w14:paraId="1649A9C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计划生育事务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1DA20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44E5B13">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0E1458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0.30</w:t>
            </w:r>
          </w:p>
        </w:tc>
      </w:tr>
      <w:tr w14:paraId="64EA53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CED3A8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2100717</w:t>
            </w:r>
          </w:p>
        </w:tc>
        <w:tc>
          <w:tcPr>
            <w:tcW w:w="756" w:type="pct"/>
            <w:tcBorders>
              <w:top w:val="single" w:color="auto" w:sz="4" w:space="0"/>
              <w:left w:val="single" w:color="auto" w:sz="4" w:space="0"/>
              <w:bottom w:val="single" w:color="auto" w:sz="4" w:space="0"/>
              <w:right w:val="single" w:color="auto" w:sz="4" w:space="0"/>
            </w:tcBorders>
            <w:noWrap/>
            <w:vAlign w:val="center"/>
          </w:tcPr>
          <w:p w14:paraId="7F9386A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计划生育服务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75189A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AFA0E71">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01DBC7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0.30</w:t>
            </w: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7E3D28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E0604A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部门（单位）：石家庄市新华区民族路步行街服务中心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B700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7273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FE32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327.53</w:t>
            </w: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0.01</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78.83</w:t>
            </w: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0.01</w:t>
            </w: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28.17</w:t>
            </w: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42.05</w:t>
            </w: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100.02</w:t>
            </w: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28.24</w:t>
            </w: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0"/>
                <w:iCs w:val="0"/>
                <w:color w:val="000000"/>
                <w:sz w:val="18"/>
                <w:szCs w:val="18"/>
                <w:highlight w:val="none"/>
                <w:u w:val="none"/>
              </w:rPr>
            </w:pP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6.98</w:t>
            </w: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0"/>
                <w:iCs w:val="0"/>
                <w:color w:val="000000"/>
                <w:sz w:val="18"/>
                <w:szCs w:val="18"/>
                <w:highlight w:val="none"/>
                <w:u w:val="none"/>
              </w:rPr>
            </w:pP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15.19</w:t>
            </w: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0"/>
                <w:iCs w:val="0"/>
                <w:color w:val="000000"/>
                <w:sz w:val="18"/>
                <w:szCs w:val="18"/>
                <w:highlight w:val="none"/>
                <w:u w:val="none"/>
              </w:rPr>
            </w:pP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0"/>
                <w:iCs w:val="0"/>
                <w:color w:val="000000"/>
                <w:sz w:val="18"/>
                <w:szCs w:val="18"/>
                <w:highlight w:val="none"/>
                <w:u w:val="none"/>
              </w:rPr>
            </w:pP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3.14</w:t>
            </w: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0"/>
                <w:iCs w:val="0"/>
                <w:color w:val="000000"/>
                <w:sz w:val="18"/>
                <w:szCs w:val="18"/>
                <w:highlight w:val="none"/>
                <w:u w:val="none"/>
              </w:rPr>
            </w:pP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24.39</w:t>
            </w: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0"/>
                <w:iCs w:val="0"/>
                <w:color w:val="000000"/>
                <w:sz w:val="18"/>
                <w:szCs w:val="18"/>
                <w:highlight w:val="none"/>
                <w:u w:val="none"/>
              </w:rPr>
            </w:pP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0"/>
                <w:iCs w:val="0"/>
                <w:color w:val="000000"/>
                <w:sz w:val="18"/>
                <w:szCs w:val="18"/>
                <w:highlight w:val="none"/>
                <w:u w:val="none"/>
              </w:rPr>
            </w:pP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0.51</w:t>
            </w: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0"/>
                <w:iCs w:val="0"/>
                <w:color w:val="000000"/>
                <w:sz w:val="18"/>
                <w:szCs w:val="18"/>
                <w:highlight w:val="none"/>
                <w:u w:val="none"/>
              </w:rPr>
            </w:pP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32.11</w:t>
            </w: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0"/>
                <w:iCs w:val="0"/>
                <w:color w:val="000000"/>
                <w:sz w:val="18"/>
                <w:szCs w:val="18"/>
                <w:highlight w:val="none"/>
                <w:u w:val="none"/>
              </w:rPr>
            </w:pP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0"/>
                <w:iCs w:val="0"/>
                <w:color w:val="000000"/>
                <w:sz w:val="18"/>
                <w:szCs w:val="18"/>
                <w:highlight w:val="none"/>
                <w:u w:val="none"/>
              </w:rPr>
            </w:pP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32.07</w:t>
            </w: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0"/>
                <w:iCs w:val="0"/>
                <w:color w:val="000000"/>
                <w:sz w:val="18"/>
                <w:szCs w:val="18"/>
                <w:highlight w:val="none"/>
                <w:u w:val="none"/>
              </w:rPr>
            </w:pP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0"/>
                <w:iCs w:val="0"/>
                <w:color w:val="000000"/>
                <w:sz w:val="18"/>
                <w:szCs w:val="18"/>
                <w:highlight w:val="none"/>
                <w:u w:val="none"/>
              </w:rPr>
            </w:pP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0"/>
                <w:iCs w:val="0"/>
                <w:color w:val="000000"/>
                <w:sz w:val="18"/>
                <w:szCs w:val="18"/>
                <w:highlight w:val="none"/>
                <w:u w:val="none"/>
              </w:rPr>
            </w:pP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0"/>
                <w:iCs w:val="0"/>
                <w:color w:val="000000"/>
                <w:sz w:val="18"/>
                <w:szCs w:val="18"/>
                <w:highlight w:val="none"/>
                <w:u w:val="none"/>
              </w:rPr>
            </w:pP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0"/>
                <w:iCs w:val="0"/>
                <w:color w:val="000000"/>
                <w:sz w:val="18"/>
                <w:szCs w:val="18"/>
                <w:highlight w:val="none"/>
                <w:u w:val="none"/>
              </w:rPr>
            </w:pP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0"/>
                <w:iCs w:val="0"/>
                <w:color w:val="000000"/>
                <w:sz w:val="18"/>
                <w:szCs w:val="18"/>
                <w:highlight w:val="none"/>
                <w:u w:val="none"/>
              </w:rPr>
            </w:pP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0"/>
                <w:iCs w:val="0"/>
                <w:color w:val="000000"/>
                <w:sz w:val="18"/>
                <w:szCs w:val="18"/>
                <w:highlight w:val="none"/>
                <w:u w:val="none"/>
              </w:rPr>
            </w:pP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0.04</w:t>
            </w: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0"/>
                <w:iCs w:val="0"/>
                <w:color w:val="000000"/>
                <w:sz w:val="18"/>
                <w:szCs w:val="18"/>
                <w:highlight w:val="none"/>
                <w:u w:val="none"/>
              </w:rPr>
            </w:pP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0"/>
                <w:iCs w:val="0"/>
                <w:color w:val="000000"/>
                <w:sz w:val="18"/>
                <w:szCs w:val="18"/>
                <w:highlight w:val="none"/>
                <w:u w:val="none"/>
              </w:rPr>
            </w:pP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0"/>
                <w:iCs w:val="0"/>
                <w:color w:val="000000"/>
                <w:sz w:val="18"/>
                <w:szCs w:val="18"/>
                <w:highlight w:val="none"/>
                <w:u w:val="none"/>
              </w:rPr>
            </w:pP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0"/>
                <w:iCs w:val="0"/>
                <w:color w:val="000000"/>
                <w:sz w:val="18"/>
                <w:szCs w:val="18"/>
                <w:highlight w:val="none"/>
                <w:u w:val="none"/>
              </w:rPr>
            </w:pP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0"/>
                <w:iCs w:val="0"/>
                <w:color w:val="000000"/>
                <w:sz w:val="18"/>
                <w:szCs w:val="18"/>
                <w:highlight w:val="none"/>
                <w:u w:val="none"/>
              </w:rPr>
            </w:pP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0"/>
                <w:iCs w:val="0"/>
                <w:color w:val="000000"/>
                <w:sz w:val="18"/>
                <w:szCs w:val="18"/>
                <w:highlight w:val="none"/>
                <w:u w:val="none"/>
              </w:rPr>
            </w:pP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0"/>
                <w:iCs w:val="0"/>
                <w:color w:val="000000"/>
                <w:sz w:val="18"/>
                <w:szCs w:val="18"/>
                <w:highlight w:val="none"/>
                <w:u w:val="none"/>
              </w:rPr>
            </w:pP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0"/>
                <w:iCs w:val="0"/>
                <w:color w:val="000000"/>
                <w:sz w:val="18"/>
                <w:szCs w:val="18"/>
                <w:highlight w:val="none"/>
                <w:u w:val="none"/>
              </w:rPr>
            </w:pP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0"/>
                <w:iCs w:val="0"/>
                <w:color w:val="000000"/>
                <w:sz w:val="18"/>
                <w:szCs w:val="18"/>
                <w:highlight w:val="none"/>
                <w:u w:val="none"/>
              </w:rPr>
            </w:pP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359.64</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0.01</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6D9C21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部门（单位）：石家庄市新华区民族路步行街服务中心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04C1B5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14CFDBA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EE461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F4F1D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69DC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4F245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0EC9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75134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89BDC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0124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AE1ED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07614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7FE8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2A42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8E01B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59B30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19C4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FD2D9B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2D072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7F6E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3B8F4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C23B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05869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41361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23E146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AC66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4014D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C550A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61ECE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39815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209B6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9BACD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085DE7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A176F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2EE39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9179A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16DBD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5B433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B1AE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3B6FC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0"/>
                <w:iCs w:val="0"/>
                <w:color w:val="000000"/>
                <w:sz w:val="20"/>
                <w:szCs w:val="20"/>
                <w:highlight w:val="none"/>
                <w:u w:val="none"/>
              </w:rPr>
            </w:pP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90B949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120D8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0B9454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6CB50F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部门（单位）：石家庄市新华区民族路步行街服务中心</w:t>
            </w:r>
          </w:p>
        </w:tc>
        <w:tc>
          <w:tcPr>
            <w:tcW w:w="1421" w:type="pct"/>
            <w:gridSpan w:val="4"/>
            <w:tcBorders>
              <w:top w:val="nil"/>
              <w:left w:val="nil"/>
              <w:bottom w:val="single" w:color="auto" w:sz="4" w:space="0"/>
              <w:right w:val="nil"/>
            </w:tcBorders>
            <w:noWrap/>
            <w:vAlign w:val="bottom"/>
          </w:tcPr>
          <w:p w14:paraId="616B662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F819FF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415D84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2669862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640DB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33C85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0AF09E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2D0373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7C542A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1DFC010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F171B6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62E73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B03F0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0919C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B4E4A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FCB9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C72D91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05ACA5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F24235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0"/>
                <w:iCs w:val="0"/>
                <w:color w:val="000000"/>
                <w:sz w:val="20"/>
                <w:szCs w:val="20"/>
                <w:highlight w:val="none"/>
                <w:u w:val="none"/>
              </w:rPr>
            </w:pP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1BC9E6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313A4E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46B7D1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部门（单位）：石家庄市新华区民族路步行街服务中心</w:t>
            </w:r>
          </w:p>
        </w:tc>
        <w:tc>
          <w:tcPr>
            <w:tcW w:w="933" w:type="pct"/>
            <w:gridSpan w:val="3"/>
            <w:tcBorders>
              <w:top w:val="nil"/>
              <w:left w:val="nil"/>
              <w:bottom w:val="single" w:color="auto" w:sz="4" w:space="0"/>
              <w:right w:val="nil"/>
            </w:tcBorders>
            <w:noWrap/>
            <w:vAlign w:val="bottom"/>
          </w:tcPr>
          <w:p w14:paraId="701DA5D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C27C4B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DC6F5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52B57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2592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986BC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C2E82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0BF42D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C03B6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7A5FB8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A93E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3F97F3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D82C2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C7ACD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1B8D2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8EBCB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0"/>
                <w:iCs w:val="0"/>
                <w:color w:val="000000"/>
                <w:sz w:val="18"/>
                <w:szCs w:val="18"/>
                <w:highlight w:val="none"/>
                <w:u w:val="none"/>
              </w:rPr>
            </w:pP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0"/>
                <w:iCs w:val="0"/>
                <w:color w:val="000000"/>
                <w:sz w:val="18"/>
                <w:szCs w:val="18"/>
                <w:highlight w:val="none"/>
                <w:u w:val="none"/>
              </w:rPr>
            </w:pP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（如无相关数据，则需注明空表列示）</w:t>
            </w:r>
          </w:p>
        </w:tc>
      </w:tr>
    </w:tbl>
    <w:p w14:paraId="4895B32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803A2C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491D217E">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14:paraId="2BEFC62A">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13B98F0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359.95万元。与2023年度决算相比，收支各减少58.02万元，下降13.9%，主要原因是上年度8月份在职人员减少2人，2人调出，2024年1月份退休1人，本年度人员经费减少；本年度未追加项目经费28.8万元。</w:t>
      </w:r>
    </w:p>
    <w:p w14:paraId="55CC107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04088870">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2248463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359.95万元，其中：财政拨款收入359.95万元，占100.0%；上级补助收入0.00万元，占0.0%；事业收入0.00万元，占0.0%；经营收入0.00万元，占0.0%；附属单位上缴收入0.00万元，占0.0%；其他收入0.00万元，占0.0%。</w:t>
      </w:r>
    </w:p>
    <w:p w14:paraId="3EDA1CE7">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14:paraId="04FB316F">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6D57554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本单位2024年度本年支出合计359.95万元，其中：基本支出359.65万元，占99.9%；项目支出0.30万元，占0.1%；上缴上级支出0.00万元，占0.0%；经营支出0.00万元，占0.0%；对附属单位补助支出0.00万元，占0.0%。</w:t>
      </w:r>
    </w:p>
    <w:p w14:paraId="1EDB86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13F51BF">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4D3808C8">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7E0FA3B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359.95万元。与2023年度相比，财政拨款收支各减少58.02万元，降低13.9%，主要原因是上年度8月份在职人员减少2人，2人调出，2024年1月份退休1人，本年度人员经费减少；本年度未追加项目经费28.8万元。</w:t>
      </w:r>
    </w:p>
    <w:p w14:paraId="3723557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359.95万元,比上年减少57.76万元，降低13.8%，主要原因是上年度8月份在职人员减少2人，2人调出，2024年1月份退休1人，本年度人员经费减少；本年度未追加项目经费28.8万元；本年支出359.95万元，比上年减少58.02万元，降低13.9%，主要原因是上年度8月份在职人员减少2人，2人调出，2024年1月份退休1人，本年度人员经费减少；本年度未追加项目经费28.8万元。具体情况如下：</w:t>
      </w:r>
    </w:p>
    <w:p w14:paraId="61F3D1AF">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359.95万元,比上年减少57.76万元，降低13.8%，主要原因是上年度8月份在职人员减少2人，2人调出，2024年1月份退休1人，本年度人员经费减少；本年度未追加项目经费28.8万元；本年支出359.95万元，比上年减少58.02万元，降低13.9%，主要原因是上年度8月份在职人员减少2人，2人调出，2024年1月份退休1人，本年度人员经费减少；本年度未追加项目经费28.8万元。</w:t>
      </w:r>
    </w:p>
    <w:p w14:paraId="039A609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0.00万元，比上年增加0.00万元，增长0.00%，主要原因是本年无政府性基金预算财政拨款收入；本年支出0.00万元，比上年增加0.00万元，增长0.00%，主要原因是本年无政府性基金预算财政拨款支出。</w:t>
      </w:r>
    </w:p>
    <w:p w14:paraId="37239F9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0.00万元，比上年增加0.00万元，增长0.00%，主要原因是本年无国有资本经营预算财政拨款收入；本年支出0.00万元，比上年增加0.00万元，增长0.00%，主要原因是本年无国有资本经营预算财政拨款支出。</w:t>
      </w:r>
    </w:p>
    <w:p w14:paraId="5737523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84E96A8">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1F879D7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359.95万元，完成年初预算的96.0%，比年初预算减少15.12万元，决算数小于预算数主要原因是2024年1月份退休1人，本年度人员经费减少；本年支出359.95万元，完成年初预算的96.0%，比年初预算减少15.12万元，决算数小于预算数主要原因是2024年1月份退休1人，本年度人员经费减少。具体情况如下：</w:t>
      </w:r>
    </w:p>
    <w:p w14:paraId="01E99C0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96.0%，比年初预算减少15.12万元，主要原因是2024年1月份退休1人，本年度人员经费减少；支出完成年初预算的96.0%，比年初预算减少15.12万元，主要原因是2024年1月份退休1人，本年度人员经费减少。</w:t>
      </w:r>
    </w:p>
    <w:p w14:paraId="51499D3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政府性基金预算财政拨款本年收入完成年初预算的0.0%，比年初预算增加0.00万元，主要原因是年初预算为0；支出完成年初预算的0.0%，比年初预算增加0.00万元，主要原因是年初预算为0。</w:t>
      </w:r>
    </w:p>
    <w:p w14:paraId="5DECEAD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国有资本经营预算财政拨款本年收入完成年初预算的0.0%，比年初预算增加0.00万元，主要原因是年初预算为0；支出完成年初预算的0.0%，比年初预算增加0.00万元，主要原因是年初预算为0。</w:t>
      </w:r>
    </w:p>
    <w:p w14:paraId="39F845F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BE36D1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24DEDF2">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3A7DDE7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2024年度财政拨款支出359.95万元，主要用于以下方面：</w:t>
      </w:r>
    </w:p>
    <w:p w14:paraId="2B25899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4DEAB0F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359.65万元，占99.9%，主要用于基本工资、津贴补贴、奖金、机关事业单位基本养老保险缴费等支出；外交（类）支出0.00万元，占0.0%；国防（类）支出0.00万元，占0.0%；公共安全类（类）支出0.00万元，占0.0%；教育（类）支出0.00万元，占0.0%</w:t>
      </w:r>
      <w:r>
        <w:rPr>
          <w:rFonts w:hint="eastAsia" w:ascii="Times New Roman" w:eastAsia="仿宋_GB2312"/>
          <w:b w:val="0"/>
          <w:sz w:val="32"/>
          <w:szCs w:val="32"/>
          <w:lang w:eastAsia="zh-CN"/>
        </w:rPr>
        <w:t>。</w:t>
      </w:r>
    </w:p>
    <w:p w14:paraId="36ED2E8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ADF5FAF">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7A9C0EE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2024年度财政拨款基本支出359.65万元，其中：</w:t>
      </w:r>
    </w:p>
    <w:p w14:paraId="051E2F0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人员经费359.64万元，主要包括基本工资、津贴补贴、奖金、绩效工资、机关事业部门基本养老保险缴费、职业年金缴费、职工基本医疗保险缴费、住房公积金、其他社会保障缴费、其他工资福利支出、 退休费、 生活补助、奖励金。</w:t>
      </w:r>
    </w:p>
    <w:p w14:paraId="38BB4EA0">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公用经费0.01万元，主要包括办公费</w:t>
      </w:r>
      <w:r>
        <w:rPr>
          <w:rFonts w:hint="eastAsia" w:ascii="Times New Roman" w:eastAsia="仿宋_GB2312"/>
          <w:b w:val="0"/>
          <w:sz w:val="32"/>
          <w:szCs w:val="32"/>
          <w:lang w:eastAsia="zh-CN"/>
        </w:rPr>
        <w:t>。</w:t>
      </w:r>
    </w:p>
    <w:p w14:paraId="2E08BB87">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53BEDBEC">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2EE2066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本单位2024年度“三公”经费财政拨款支出预算为0万元，支出决算为0万元，完成预算的0%，</w:t>
      </w:r>
      <w:r>
        <w:rPr>
          <w:rFonts w:hint="eastAsia" w:ascii="仿宋_GB2312" w:hAnsi="Times New Roman" w:eastAsia="仿宋_GB2312" w:cs="DengXian-Regular"/>
          <w:sz w:val="32"/>
          <w:szCs w:val="32"/>
        </w:rPr>
        <w:t>较预算</w:t>
      </w:r>
      <w:r>
        <w:rPr>
          <w:rFonts w:hint="eastAsia" w:ascii="仿宋_GB2312" w:hAnsi="Times New Roman" w:eastAsia="仿宋_GB2312" w:cs="DengXian-Regular"/>
          <w:sz w:val="32"/>
          <w:szCs w:val="32"/>
          <w:lang w:val="en-US" w:eastAsia="zh-CN"/>
        </w:rPr>
        <w:t>无增减变化</w:t>
      </w:r>
      <w:r>
        <w:rPr>
          <w:rFonts w:ascii="Times New Roman" w:eastAsia="仿宋_GB2312"/>
          <w:b w:val="0"/>
          <w:sz w:val="32"/>
          <w:szCs w:val="32"/>
        </w:rPr>
        <w:t>，主要原因是2024年度预算数为0；较2023年度</w:t>
      </w:r>
      <w:r>
        <w:rPr>
          <w:rFonts w:hint="eastAsia" w:ascii="仿宋_GB2312" w:hAnsi="Times New Roman" w:eastAsia="仿宋_GB2312" w:cs="DengXian-Regular"/>
          <w:sz w:val="32"/>
          <w:szCs w:val="32"/>
          <w:lang w:val="en-US" w:eastAsia="zh-CN"/>
        </w:rPr>
        <w:t>无增减变化</w:t>
      </w:r>
      <w:r>
        <w:rPr>
          <w:rFonts w:ascii="Times New Roman" w:eastAsia="仿宋_GB2312"/>
          <w:b w:val="0"/>
          <w:sz w:val="32"/>
          <w:szCs w:val="32"/>
        </w:rPr>
        <w:t>，主要原因是2023年度决算数为0。</w:t>
      </w:r>
    </w:p>
    <w:p w14:paraId="5FCAB404">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23D2E956">
      <w:pPr>
        <w:adjustRightInd w:val="0"/>
        <w:snapToGrid w:val="0"/>
        <w:spacing w:line="580" w:lineRule="exact"/>
        <w:ind w:firstLine="643" w:firstLineChars="200"/>
        <w:rPr>
          <w:rFonts w:ascii="Times New Roman" w:eastAsia="仿宋_GB2312"/>
          <w:b w:val="0"/>
          <w:sz w:val="32"/>
          <w:szCs w:val="32"/>
        </w:rPr>
      </w:pPr>
      <w:r>
        <w:rPr>
          <w:rFonts w:ascii="Times New Roman" w:eastAsia="楷体_GB2312"/>
          <w:b/>
          <w:sz w:val="32"/>
          <w:szCs w:val="32"/>
        </w:rPr>
        <w:t>1.因公出国（境）费支出情况。</w:t>
      </w:r>
      <w:r>
        <w:rPr>
          <w:rFonts w:ascii="Times New Roman" w:eastAsia="仿宋_GB2312"/>
          <w:b w:val="0"/>
          <w:sz w:val="32"/>
          <w:szCs w:val="32"/>
        </w:rPr>
        <w:t>本单位2024年度因公出国（境）费支出预算为0.00万元,支出决算0万元。完成预算的0%。</w:t>
      </w:r>
      <w:r>
        <w:rPr>
          <w:rFonts w:hint="eastAsia" w:ascii="Times New Roman" w:eastAsia="仿宋_GB2312"/>
          <w:b w:val="0"/>
          <w:sz w:val="32"/>
          <w:szCs w:val="32"/>
        </w:rPr>
        <w:t>因公出国（境）费支出</w:t>
      </w:r>
      <w:r>
        <w:rPr>
          <w:rFonts w:hint="eastAsia" w:ascii="Times New Roman" w:eastAsia="仿宋_GB2312"/>
          <w:b w:val="0"/>
          <w:sz w:val="32"/>
          <w:szCs w:val="32"/>
          <w:lang w:val="en-US" w:eastAsia="zh-CN"/>
        </w:rPr>
        <w:t>与</w:t>
      </w:r>
      <w:r>
        <w:rPr>
          <w:rFonts w:hint="eastAsia" w:ascii="Times New Roman" w:eastAsia="仿宋_GB2312"/>
          <w:b w:val="0"/>
          <w:sz w:val="32"/>
          <w:szCs w:val="32"/>
        </w:rPr>
        <w:t>预算</w:t>
      </w:r>
      <w:r>
        <w:rPr>
          <w:rFonts w:hint="eastAsia" w:ascii="Times New Roman" w:eastAsia="仿宋_GB2312"/>
          <w:b w:val="0"/>
          <w:sz w:val="32"/>
          <w:szCs w:val="32"/>
          <w:lang w:val="en-US" w:eastAsia="zh-CN"/>
        </w:rPr>
        <w:t>持平</w:t>
      </w:r>
      <w:r>
        <w:rPr>
          <w:rFonts w:hint="eastAsia" w:ascii="Times New Roman" w:eastAsia="仿宋_GB2312"/>
          <w:b w:val="0"/>
          <w:sz w:val="32"/>
          <w:szCs w:val="32"/>
        </w:rPr>
        <w:t>，主要是</w:t>
      </w:r>
      <w:r>
        <w:rPr>
          <w:rFonts w:hint="eastAsia" w:ascii="Times New Roman" w:eastAsia="仿宋_GB2312"/>
          <w:b w:val="0"/>
          <w:sz w:val="32"/>
          <w:szCs w:val="32"/>
          <w:lang w:val="en-US" w:eastAsia="zh-CN"/>
        </w:rPr>
        <w:t>预算数为0</w:t>
      </w:r>
      <w:r>
        <w:rPr>
          <w:rFonts w:hint="eastAsia" w:ascii="Times New Roman" w:eastAsia="仿宋_GB2312"/>
          <w:b w:val="0"/>
          <w:sz w:val="32"/>
          <w:szCs w:val="32"/>
        </w:rPr>
        <w:t>；</w:t>
      </w:r>
      <w:r>
        <w:rPr>
          <w:rFonts w:hint="eastAsia" w:ascii="Times New Roman" w:eastAsia="仿宋_GB2312"/>
          <w:b w:val="0"/>
          <w:sz w:val="32"/>
          <w:szCs w:val="32"/>
        </w:rPr>
        <w:t>较上年增加</w:t>
      </w:r>
      <w:r>
        <w:rPr>
          <w:rFonts w:hint="eastAsia" w:ascii="Times New Roman" w:eastAsia="仿宋_GB2312"/>
          <w:b w:val="0"/>
          <w:sz w:val="32"/>
          <w:szCs w:val="32"/>
          <w:lang w:val="en-US" w:eastAsia="zh-CN"/>
        </w:rPr>
        <w:t>0</w:t>
      </w:r>
      <w:r>
        <w:rPr>
          <w:rFonts w:hint="eastAsia" w:ascii="Times New Roman" w:eastAsia="仿宋_GB2312"/>
          <w:b w:val="0"/>
          <w:sz w:val="32"/>
          <w:szCs w:val="32"/>
        </w:rPr>
        <w:t>万元，增长</w:t>
      </w:r>
      <w:r>
        <w:rPr>
          <w:rFonts w:hint="eastAsia" w:ascii="Times New Roman" w:eastAsia="仿宋_GB2312"/>
          <w:b w:val="0"/>
          <w:sz w:val="32"/>
          <w:szCs w:val="32"/>
          <w:lang w:val="en-US" w:eastAsia="zh-CN"/>
        </w:rPr>
        <w:t>0</w:t>
      </w:r>
      <w:r>
        <w:rPr>
          <w:rFonts w:hint="eastAsia" w:ascii="Times New Roman" w:eastAsia="仿宋_GB2312"/>
          <w:b w:val="0"/>
          <w:sz w:val="32"/>
          <w:szCs w:val="32"/>
        </w:rPr>
        <w:t>%,主要是</w:t>
      </w:r>
      <w:r>
        <w:rPr>
          <w:rFonts w:hint="eastAsia" w:ascii="Times New Roman" w:eastAsia="仿宋_GB2312"/>
          <w:b w:val="0"/>
          <w:sz w:val="32"/>
          <w:szCs w:val="32"/>
          <w:lang w:val="en-US" w:eastAsia="zh-CN"/>
        </w:rPr>
        <w:t>上年预算数为0</w:t>
      </w:r>
      <w:r>
        <w:rPr>
          <w:rFonts w:hint="eastAsia" w:ascii="Times New Roman" w:eastAsia="仿宋_GB2312"/>
          <w:b w:val="0"/>
          <w:sz w:val="32"/>
          <w:szCs w:val="32"/>
        </w:rPr>
        <w:t>。其中因公出国（境）团组</w:t>
      </w:r>
      <w:r>
        <w:rPr>
          <w:rFonts w:hint="eastAsia" w:ascii="Times New Roman" w:eastAsia="仿宋_GB2312"/>
          <w:b w:val="0"/>
          <w:sz w:val="32"/>
          <w:szCs w:val="32"/>
          <w:lang w:val="en-US" w:eastAsia="zh-CN"/>
        </w:rPr>
        <w:t>0</w:t>
      </w:r>
      <w:r>
        <w:rPr>
          <w:rFonts w:hint="eastAsia" w:ascii="Times New Roman" w:eastAsia="仿宋_GB2312"/>
          <w:b w:val="0"/>
          <w:sz w:val="32"/>
          <w:szCs w:val="32"/>
        </w:rPr>
        <w:t>个、共</w:t>
      </w:r>
      <w:r>
        <w:rPr>
          <w:rFonts w:hint="eastAsia" w:ascii="Times New Roman" w:eastAsia="仿宋_GB2312"/>
          <w:b w:val="0"/>
          <w:sz w:val="32"/>
          <w:szCs w:val="32"/>
          <w:lang w:val="en-US" w:eastAsia="zh-CN"/>
        </w:rPr>
        <w:t>0</w:t>
      </w:r>
      <w:r>
        <w:rPr>
          <w:rFonts w:hint="eastAsia" w:ascii="Times New Roman" w:eastAsia="仿宋_GB2312"/>
          <w:b w:val="0"/>
          <w:sz w:val="32"/>
          <w:szCs w:val="32"/>
        </w:rPr>
        <w:t>人、参加其他单位组织的因公出国（境）团组</w:t>
      </w:r>
      <w:r>
        <w:rPr>
          <w:rFonts w:hint="eastAsia" w:ascii="Times New Roman" w:eastAsia="仿宋_GB2312"/>
          <w:b w:val="0"/>
          <w:sz w:val="32"/>
          <w:szCs w:val="32"/>
          <w:lang w:val="en-US" w:eastAsia="zh-CN"/>
        </w:rPr>
        <w:t>0</w:t>
      </w:r>
      <w:r>
        <w:rPr>
          <w:rFonts w:hint="eastAsia" w:ascii="Times New Roman" w:eastAsia="仿宋_GB2312"/>
          <w:b w:val="0"/>
          <w:sz w:val="32"/>
          <w:szCs w:val="32"/>
        </w:rPr>
        <w:t>个、无本</w:t>
      </w:r>
      <w:r>
        <w:rPr>
          <w:rFonts w:hint="eastAsia" w:ascii="Times New Roman" w:eastAsia="仿宋_GB2312"/>
          <w:b w:val="0"/>
          <w:sz w:val="32"/>
          <w:szCs w:val="32"/>
          <w:lang w:val="en-US" w:eastAsia="zh-CN"/>
        </w:rPr>
        <w:t>单位</w:t>
      </w:r>
      <w:r>
        <w:rPr>
          <w:rFonts w:hint="eastAsia" w:ascii="Times New Roman" w:eastAsia="仿宋_GB2312"/>
          <w:b w:val="0"/>
          <w:sz w:val="32"/>
          <w:szCs w:val="32"/>
        </w:rPr>
        <w:t>组织的出国（境）团组。</w:t>
      </w:r>
    </w:p>
    <w:p w14:paraId="07942D3E">
      <w:pPr>
        <w:widowControl/>
        <w:spacing w:before="0" w:beforeLines="0" w:beforeAutospacing="0" w:after="0" w:afterLines="0" w:afterAutospacing="0" w:line="360" w:lineRule="auto"/>
        <w:ind w:firstLine="643" w:firstLineChars="200"/>
        <w:jc w:val="left"/>
        <w:rPr>
          <w:rFonts w:hint="eastAsia" w:ascii="Times New Roman" w:eastAsia="仿宋_GB2312"/>
          <w:b w:val="0"/>
          <w:sz w:val="32"/>
          <w:szCs w:val="32"/>
        </w:rPr>
      </w:pPr>
      <w:r>
        <w:rPr>
          <w:rFonts w:ascii="Times New Roman" w:eastAsia="楷体_GB2312"/>
          <w:b/>
          <w:sz w:val="32"/>
          <w:szCs w:val="32"/>
        </w:rPr>
        <w:t>2.公务用车购置及运行维护费支出情况。</w:t>
      </w:r>
      <w:r>
        <w:rPr>
          <w:rFonts w:hint="eastAsia" w:ascii="Times New Roman" w:eastAsia="仿宋_GB2312"/>
          <w:b w:val="0"/>
          <w:sz w:val="32"/>
          <w:szCs w:val="32"/>
        </w:rPr>
        <w:t>本单位2024年度公务用车购置及运行维护费预算为0万元，支出决算0万元，完成预算的0%,公务用车购置</w:t>
      </w:r>
      <w:r>
        <w:rPr>
          <w:rFonts w:hint="eastAsia" w:ascii="Times New Roman" w:eastAsia="仿宋_GB2312"/>
          <w:b w:val="0"/>
          <w:sz w:val="32"/>
          <w:szCs w:val="32"/>
          <w:lang w:val="en-US" w:eastAsia="zh-CN"/>
        </w:rPr>
        <w:t>费支出与</w:t>
      </w:r>
      <w:r>
        <w:rPr>
          <w:rFonts w:hint="eastAsia" w:ascii="Times New Roman" w:eastAsia="仿宋_GB2312"/>
          <w:b w:val="0"/>
          <w:sz w:val="32"/>
          <w:szCs w:val="32"/>
        </w:rPr>
        <w:t>预算</w:t>
      </w:r>
      <w:r>
        <w:rPr>
          <w:rFonts w:hint="eastAsia" w:ascii="Times New Roman" w:eastAsia="仿宋_GB2312"/>
          <w:b w:val="0"/>
          <w:sz w:val="32"/>
          <w:szCs w:val="32"/>
          <w:lang w:val="en-US" w:eastAsia="zh-CN"/>
        </w:rPr>
        <w:t>持平</w:t>
      </w:r>
      <w:r>
        <w:rPr>
          <w:rFonts w:hint="eastAsia" w:ascii="Times New Roman" w:eastAsia="仿宋_GB2312"/>
          <w:b w:val="0"/>
          <w:sz w:val="32"/>
          <w:szCs w:val="32"/>
        </w:rPr>
        <w:t>，</w:t>
      </w:r>
      <w:r>
        <w:rPr>
          <w:rFonts w:hint="eastAsia" w:ascii="Times New Roman" w:eastAsia="仿宋_GB2312"/>
          <w:b w:val="0"/>
          <w:sz w:val="32"/>
          <w:szCs w:val="32"/>
          <w:lang w:val="en-US" w:eastAsia="zh-CN"/>
        </w:rPr>
        <w:t>无增减变化</w:t>
      </w:r>
      <w:r>
        <w:rPr>
          <w:rFonts w:hint="eastAsia" w:ascii="Times New Roman" w:eastAsia="仿宋_GB2312"/>
          <w:b w:val="0"/>
          <w:sz w:val="32"/>
          <w:szCs w:val="32"/>
        </w:rPr>
        <w:t>,主要原因是预算数为0；较上年增加0.00万元，增长0.00%,主要原因是上年为0。其中：</w:t>
      </w:r>
    </w:p>
    <w:p w14:paraId="4C8FB8C7">
      <w:pPr>
        <w:adjustRightInd w:val="0"/>
        <w:snapToGrid w:val="0"/>
        <w:spacing w:line="580" w:lineRule="exact"/>
        <w:ind w:firstLine="643" w:firstLineChars="200"/>
        <w:rPr>
          <w:rFonts w:ascii="Times New Roman" w:eastAsia="仿宋_GB2312"/>
          <w:b w:val="0"/>
          <w:sz w:val="32"/>
          <w:szCs w:val="32"/>
        </w:rPr>
      </w:pPr>
      <w:r>
        <w:rPr>
          <w:rFonts w:ascii="Times New Roman" w:eastAsia="仿宋_GB2312"/>
          <w:b/>
          <w:sz w:val="32"/>
          <w:szCs w:val="32"/>
        </w:rPr>
        <w:t>公务用车购置费支出0万元：</w:t>
      </w:r>
      <w:r>
        <w:rPr>
          <w:rFonts w:ascii="Times New Roman" w:eastAsia="仿宋_GB2312"/>
          <w:b w:val="0"/>
          <w:sz w:val="32"/>
          <w:szCs w:val="32"/>
        </w:rPr>
        <w:t>本单位2024年度公务用车购置量0辆，发生“公务用车购置”经费支出0万元。</w:t>
      </w:r>
      <w:r>
        <w:rPr>
          <w:rFonts w:hint="eastAsia" w:ascii="Times New Roman" w:eastAsia="仿宋_GB2312"/>
          <w:b w:val="0"/>
          <w:sz w:val="32"/>
          <w:szCs w:val="32"/>
        </w:rPr>
        <w:t>公务用车购置费支出</w:t>
      </w:r>
      <w:r>
        <w:rPr>
          <w:rFonts w:hint="eastAsia" w:ascii="Times New Roman" w:eastAsia="仿宋_GB2312"/>
          <w:b w:val="0"/>
          <w:sz w:val="32"/>
          <w:szCs w:val="32"/>
          <w:lang w:val="en-US" w:eastAsia="zh-CN"/>
        </w:rPr>
        <w:t>与</w:t>
      </w:r>
      <w:r>
        <w:rPr>
          <w:rFonts w:hint="eastAsia" w:ascii="Times New Roman" w:eastAsia="仿宋_GB2312"/>
          <w:b w:val="0"/>
          <w:sz w:val="32"/>
          <w:szCs w:val="32"/>
        </w:rPr>
        <w:t>预算</w:t>
      </w:r>
      <w:r>
        <w:rPr>
          <w:rFonts w:hint="eastAsia" w:ascii="Times New Roman" w:eastAsia="仿宋_GB2312"/>
          <w:b w:val="0"/>
          <w:sz w:val="32"/>
          <w:szCs w:val="32"/>
          <w:lang w:val="en-US" w:eastAsia="zh-CN"/>
        </w:rPr>
        <w:t>持平</w:t>
      </w:r>
      <w:r>
        <w:rPr>
          <w:rFonts w:hint="eastAsia" w:ascii="Times New Roman" w:eastAsia="仿宋_GB2312"/>
          <w:b w:val="0"/>
          <w:sz w:val="32"/>
          <w:szCs w:val="32"/>
        </w:rPr>
        <w:t>，</w:t>
      </w:r>
      <w:r>
        <w:rPr>
          <w:rFonts w:hint="eastAsia" w:ascii="Times New Roman" w:eastAsia="仿宋_GB2312"/>
          <w:b w:val="0"/>
          <w:sz w:val="32"/>
          <w:szCs w:val="32"/>
          <w:lang w:val="en-US" w:eastAsia="zh-CN"/>
        </w:rPr>
        <w:t>无增减变化</w:t>
      </w:r>
      <w:r>
        <w:rPr>
          <w:rFonts w:hint="eastAsia" w:ascii="Times New Roman" w:eastAsia="仿宋_GB2312"/>
          <w:b w:val="0"/>
          <w:sz w:val="32"/>
          <w:szCs w:val="32"/>
        </w:rPr>
        <w:t>,主要是</w:t>
      </w:r>
      <w:r>
        <w:rPr>
          <w:rFonts w:hint="eastAsia" w:ascii="Times New Roman" w:eastAsia="仿宋_GB2312"/>
          <w:b w:val="0"/>
          <w:sz w:val="32"/>
          <w:szCs w:val="32"/>
          <w:lang w:val="en-US" w:eastAsia="zh-CN"/>
        </w:rPr>
        <w:t>预算数为0</w:t>
      </w:r>
      <w:r>
        <w:rPr>
          <w:rFonts w:hint="eastAsia" w:ascii="Times New Roman" w:eastAsia="仿宋_GB2312"/>
          <w:b w:val="0"/>
          <w:sz w:val="32"/>
          <w:szCs w:val="32"/>
        </w:rPr>
        <w:t>；较上年</w:t>
      </w:r>
      <w:r>
        <w:rPr>
          <w:rFonts w:hint="eastAsia" w:ascii="Times New Roman" w:eastAsia="仿宋_GB2312"/>
          <w:b w:val="0"/>
          <w:sz w:val="32"/>
          <w:szCs w:val="32"/>
          <w:lang w:val="en-US" w:eastAsia="zh-CN"/>
        </w:rPr>
        <w:t>无增减变化</w:t>
      </w:r>
      <w:r>
        <w:rPr>
          <w:rFonts w:hint="eastAsia" w:ascii="Times New Roman" w:eastAsia="仿宋_GB2312"/>
          <w:b w:val="0"/>
          <w:sz w:val="32"/>
          <w:szCs w:val="32"/>
        </w:rPr>
        <w:t>,主要是</w:t>
      </w:r>
      <w:r>
        <w:rPr>
          <w:rFonts w:hint="eastAsia" w:ascii="Times New Roman" w:eastAsia="仿宋_GB2312"/>
          <w:b w:val="0"/>
          <w:sz w:val="32"/>
          <w:szCs w:val="32"/>
          <w:lang w:val="en-US" w:eastAsia="zh-CN"/>
        </w:rPr>
        <w:t>上年为0</w:t>
      </w:r>
      <w:r>
        <w:rPr>
          <w:rFonts w:hint="eastAsia" w:ascii="Times New Roman" w:eastAsia="仿宋_GB2312"/>
          <w:b w:val="0"/>
          <w:sz w:val="32"/>
          <w:szCs w:val="32"/>
        </w:rPr>
        <w:t>。</w:t>
      </w:r>
    </w:p>
    <w:p w14:paraId="2992FE98">
      <w:pPr>
        <w:adjustRightInd w:val="0"/>
        <w:snapToGrid w:val="0"/>
        <w:spacing w:line="580" w:lineRule="exact"/>
        <w:ind w:firstLine="643" w:firstLineChars="200"/>
        <w:rPr>
          <w:rFonts w:ascii="Times New Roman" w:eastAsia="仿宋_GB2312"/>
          <w:b w:val="0"/>
          <w:sz w:val="32"/>
          <w:szCs w:val="32"/>
        </w:rPr>
      </w:pPr>
      <w:r>
        <w:rPr>
          <w:rFonts w:ascii="Times New Roman" w:eastAsia="仿宋_GB2312"/>
          <w:b/>
          <w:sz w:val="32"/>
          <w:szCs w:val="32"/>
        </w:rPr>
        <w:t>公务用车运行维护费支出0万元：</w:t>
      </w:r>
      <w:r>
        <w:rPr>
          <w:rFonts w:ascii="Times New Roman" w:eastAsia="仿宋_GB2312"/>
          <w:b w:val="0"/>
          <w:sz w:val="32"/>
          <w:szCs w:val="32"/>
        </w:rPr>
        <w:t>本单位2024年度单位公务用车保有量0辆，发生运行维护费支出0.00万元。</w:t>
      </w:r>
      <w:r>
        <w:rPr>
          <w:rFonts w:hint="eastAsia" w:ascii="Times New Roman" w:eastAsia="仿宋_GB2312"/>
          <w:b w:val="0"/>
          <w:sz w:val="32"/>
          <w:szCs w:val="32"/>
        </w:rPr>
        <w:t>公车运行维护费支出</w:t>
      </w:r>
      <w:r>
        <w:rPr>
          <w:rFonts w:hint="eastAsia" w:ascii="Times New Roman" w:eastAsia="仿宋_GB2312"/>
          <w:b w:val="0"/>
          <w:sz w:val="32"/>
          <w:szCs w:val="32"/>
          <w:lang w:val="en-US" w:eastAsia="zh-CN"/>
        </w:rPr>
        <w:t>与</w:t>
      </w:r>
      <w:r>
        <w:rPr>
          <w:rFonts w:hint="eastAsia" w:ascii="Times New Roman" w:eastAsia="仿宋_GB2312"/>
          <w:b w:val="0"/>
          <w:sz w:val="32"/>
          <w:szCs w:val="32"/>
        </w:rPr>
        <w:t>预算</w:t>
      </w:r>
      <w:r>
        <w:rPr>
          <w:rFonts w:hint="eastAsia" w:ascii="Times New Roman" w:eastAsia="仿宋_GB2312"/>
          <w:b w:val="0"/>
          <w:sz w:val="32"/>
          <w:szCs w:val="32"/>
          <w:lang w:val="en-US" w:eastAsia="zh-CN"/>
        </w:rPr>
        <w:t>持平</w:t>
      </w:r>
      <w:r>
        <w:rPr>
          <w:rFonts w:hint="eastAsia" w:ascii="Times New Roman" w:eastAsia="仿宋_GB2312"/>
          <w:b w:val="0"/>
          <w:sz w:val="32"/>
          <w:szCs w:val="32"/>
        </w:rPr>
        <w:t>,</w:t>
      </w:r>
      <w:r>
        <w:rPr>
          <w:rFonts w:hint="eastAsia" w:ascii="Times New Roman" w:eastAsia="仿宋_GB2312"/>
          <w:b w:val="0"/>
          <w:sz w:val="32"/>
          <w:szCs w:val="32"/>
          <w:lang w:val="en-US" w:eastAsia="zh-CN"/>
        </w:rPr>
        <w:t>无增减变化，</w:t>
      </w:r>
      <w:r>
        <w:rPr>
          <w:rFonts w:hint="eastAsia" w:ascii="Times New Roman" w:eastAsia="仿宋_GB2312"/>
          <w:b w:val="0"/>
          <w:sz w:val="32"/>
          <w:szCs w:val="32"/>
        </w:rPr>
        <w:t>主要是</w:t>
      </w:r>
      <w:r>
        <w:rPr>
          <w:rFonts w:hint="eastAsia" w:ascii="Times New Roman" w:eastAsia="仿宋_GB2312"/>
          <w:b w:val="0"/>
          <w:sz w:val="32"/>
          <w:szCs w:val="32"/>
          <w:lang w:val="en-US" w:eastAsia="zh-CN"/>
        </w:rPr>
        <w:t>预算数为0</w:t>
      </w:r>
      <w:r>
        <w:rPr>
          <w:rFonts w:hint="eastAsia" w:ascii="Times New Roman" w:eastAsia="仿宋_GB2312"/>
          <w:b w:val="0"/>
          <w:sz w:val="32"/>
          <w:szCs w:val="32"/>
        </w:rPr>
        <w:t>；较上年</w:t>
      </w:r>
      <w:r>
        <w:rPr>
          <w:rFonts w:hint="eastAsia" w:ascii="Times New Roman" w:eastAsia="仿宋_GB2312"/>
          <w:b w:val="0"/>
          <w:sz w:val="32"/>
          <w:szCs w:val="32"/>
          <w:lang w:val="en-US" w:eastAsia="zh-CN"/>
        </w:rPr>
        <w:t>无增减变化</w:t>
      </w:r>
      <w:r>
        <w:rPr>
          <w:rFonts w:hint="eastAsia" w:ascii="Times New Roman" w:eastAsia="仿宋_GB2312"/>
          <w:b w:val="0"/>
          <w:sz w:val="32"/>
          <w:szCs w:val="32"/>
        </w:rPr>
        <w:t>，主要是</w:t>
      </w:r>
      <w:r>
        <w:rPr>
          <w:rFonts w:hint="eastAsia" w:ascii="Times New Roman" w:eastAsia="仿宋_GB2312"/>
          <w:b w:val="0"/>
          <w:sz w:val="32"/>
          <w:szCs w:val="32"/>
          <w:lang w:val="en-US" w:eastAsia="zh-CN"/>
        </w:rPr>
        <w:t>上年为0</w:t>
      </w:r>
      <w:r>
        <w:rPr>
          <w:rFonts w:hint="eastAsia" w:ascii="Times New Roman" w:eastAsia="仿宋_GB2312"/>
          <w:b w:val="0"/>
          <w:sz w:val="32"/>
          <w:szCs w:val="32"/>
        </w:rPr>
        <w:t>。</w:t>
      </w:r>
    </w:p>
    <w:p w14:paraId="578190BE">
      <w:pPr>
        <w:adjustRightInd w:val="0"/>
        <w:snapToGrid w:val="0"/>
        <w:spacing w:line="580" w:lineRule="exact"/>
        <w:ind w:firstLine="643" w:firstLineChars="200"/>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本单位2024年度公务接待费支出预算为0.00万元，支出决算0.00万元，完成预算的0.0%。</w:t>
      </w:r>
      <w:r>
        <w:rPr>
          <w:rFonts w:hint="eastAsia" w:ascii="Times New Roman" w:eastAsia="仿宋_GB2312"/>
          <w:b w:val="0"/>
          <w:sz w:val="32"/>
          <w:szCs w:val="32"/>
        </w:rPr>
        <w:t>公务接待费支出</w:t>
      </w:r>
      <w:r>
        <w:rPr>
          <w:rFonts w:hint="eastAsia" w:ascii="Times New Roman" w:eastAsia="仿宋_GB2312"/>
          <w:b w:val="0"/>
          <w:sz w:val="32"/>
          <w:szCs w:val="32"/>
          <w:lang w:val="en-US" w:eastAsia="zh-CN"/>
        </w:rPr>
        <w:t>与</w:t>
      </w:r>
      <w:r>
        <w:rPr>
          <w:rFonts w:hint="eastAsia" w:ascii="Times New Roman" w:eastAsia="仿宋_GB2312"/>
          <w:b w:val="0"/>
          <w:sz w:val="32"/>
          <w:szCs w:val="32"/>
        </w:rPr>
        <w:t>预算</w:t>
      </w:r>
      <w:r>
        <w:rPr>
          <w:rFonts w:hint="eastAsia" w:ascii="Times New Roman" w:eastAsia="仿宋_GB2312"/>
          <w:b w:val="0"/>
          <w:sz w:val="32"/>
          <w:szCs w:val="32"/>
          <w:lang w:val="en-US" w:eastAsia="zh-CN"/>
        </w:rPr>
        <w:t>持平</w:t>
      </w:r>
      <w:r>
        <w:rPr>
          <w:rFonts w:hint="eastAsia" w:ascii="Times New Roman" w:eastAsia="仿宋_GB2312"/>
          <w:b w:val="0"/>
          <w:sz w:val="32"/>
          <w:szCs w:val="32"/>
        </w:rPr>
        <w:t>，主要是</w:t>
      </w:r>
      <w:r>
        <w:rPr>
          <w:rFonts w:hint="eastAsia" w:ascii="Times New Roman" w:eastAsia="仿宋_GB2312"/>
          <w:b w:val="0"/>
          <w:sz w:val="32"/>
          <w:szCs w:val="32"/>
          <w:lang w:val="en-US" w:eastAsia="zh-CN"/>
        </w:rPr>
        <w:t>预算数为0</w:t>
      </w:r>
      <w:r>
        <w:rPr>
          <w:rFonts w:hint="eastAsia" w:ascii="Times New Roman" w:eastAsia="仿宋_GB2312"/>
          <w:b w:val="0"/>
          <w:sz w:val="32"/>
          <w:szCs w:val="32"/>
        </w:rPr>
        <w:t>；较上年度</w:t>
      </w:r>
      <w:r>
        <w:rPr>
          <w:rFonts w:hint="eastAsia" w:ascii="Times New Roman" w:eastAsia="仿宋_GB2312"/>
          <w:b w:val="0"/>
          <w:sz w:val="32"/>
          <w:szCs w:val="32"/>
          <w:lang w:val="en-US" w:eastAsia="zh-CN"/>
        </w:rPr>
        <w:t>无增减变化</w:t>
      </w:r>
      <w:r>
        <w:rPr>
          <w:rFonts w:hint="eastAsia" w:ascii="Times New Roman" w:eastAsia="仿宋_GB2312"/>
          <w:b w:val="0"/>
          <w:sz w:val="32"/>
          <w:szCs w:val="32"/>
        </w:rPr>
        <w:t>，主要是</w:t>
      </w:r>
      <w:r>
        <w:rPr>
          <w:rFonts w:hint="eastAsia" w:ascii="Times New Roman" w:eastAsia="仿宋_GB2312"/>
          <w:b w:val="0"/>
          <w:sz w:val="32"/>
          <w:szCs w:val="32"/>
          <w:lang w:val="en-US" w:eastAsia="zh-CN"/>
        </w:rPr>
        <w:t>上年为0</w:t>
      </w:r>
      <w:r>
        <w:rPr>
          <w:rFonts w:hint="eastAsia" w:ascii="Times New Roman" w:eastAsia="仿宋_GB2312"/>
          <w:b w:val="0"/>
          <w:sz w:val="32"/>
          <w:szCs w:val="32"/>
        </w:rPr>
        <w:t>。本年度共发生公务接待</w:t>
      </w:r>
      <w:r>
        <w:rPr>
          <w:rFonts w:hint="eastAsia" w:ascii="Times New Roman" w:eastAsia="仿宋_GB2312"/>
          <w:b w:val="0"/>
          <w:sz w:val="32"/>
          <w:szCs w:val="32"/>
          <w:lang w:val="en-US" w:eastAsia="zh-CN"/>
        </w:rPr>
        <w:t>0</w:t>
      </w:r>
      <w:r>
        <w:rPr>
          <w:rFonts w:hint="eastAsia" w:ascii="Times New Roman" w:eastAsia="仿宋_GB2312"/>
          <w:b w:val="0"/>
          <w:sz w:val="32"/>
          <w:szCs w:val="32"/>
        </w:rPr>
        <w:t>批次、</w:t>
      </w:r>
      <w:r>
        <w:rPr>
          <w:rFonts w:hint="eastAsia" w:ascii="Times New Roman" w:eastAsia="仿宋_GB2312"/>
          <w:b w:val="0"/>
          <w:sz w:val="32"/>
          <w:szCs w:val="32"/>
          <w:lang w:val="en-US" w:eastAsia="zh-CN"/>
        </w:rPr>
        <w:t>0</w:t>
      </w:r>
      <w:r>
        <w:rPr>
          <w:rFonts w:hint="eastAsia" w:ascii="Times New Roman" w:eastAsia="仿宋_GB2312"/>
          <w:b w:val="0"/>
          <w:sz w:val="32"/>
          <w:szCs w:val="32"/>
        </w:rPr>
        <w:t>人次。</w:t>
      </w:r>
    </w:p>
    <w:p w14:paraId="3DF5E24D">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3BCA067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本单位2024年度机关运行经费支出0万元，较2023年度增加0万元，增长0%。主要原因是机关运行经费在新华区民族路步行街管理委员会。</w:t>
      </w:r>
    </w:p>
    <w:p w14:paraId="1B1EBC8A">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1517F24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w:t>
      </w:r>
      <w:r>
        <w:rPr>
          <w:rFonts w:hint="eastAsia" w:ascii="Times New Roman" w:eastAsia="仿宋_GB2312"/>
          <w:b w:val="0"/>
          <w:sz w:val="32"/>
          <w:szCs w:val="32"/>
          <w:lang w:val="en-US" w:eastAsia="zh-CN"/>
        </w:rPr>
        <w:t>0</w:t>
      </w:r>
      <w:r>
        <w:rPr>
          <w:rFonts w:ascii="Times New Roman" w:eastAsia="仿宋_GB2312"/>
          <w:b w:val="0"/>
          <w:sz w:val="32"/>
          <w:szCs w:val="32"/>
        </w:rPr>
        <w:t>万元，从采购类型来看，政府采购货物支出</w:t>
      </w:r>
      <w:r>
        <w:rPr>
          <w:rFonts w:hint="eastAsia" w:ascii="Times New Roman" w:eastAsia="仿宋_GB2312"/>
          <w:b w:val="0"/>
          <w:sz w:val="32"/>
          <w:szCs w:val="32"/>
          <w:lang w:val="en-US" w:eastAsia="zh-CN"/>
        </w:rPr>
        <w:t>0</w:t>
      </w:r>
      <w:r>
        <w:rPr>
          <w:rFonts w:ascii="Times New Roman" w:eastAsia="仿宋_GB2312"/>
          <w:b w:val="0"/>
          <w:sz w:val="32"/>
          <w:szCs w:val="32"/>
        </w:rPr>
        <w:t>万元、政府采购工程支出</w:t>
      </w:r>
      <w:r>
        <w:rPr>
          <w:rFonts w:hint="eastAsia" w:ascii="Times New Roman" w:eastAsia="仿宋_GB2312"/>
          <w:b w:val="0"/>
          <w:sz w:val="32"/>
          <w:szCs w:val="32"/>
          <w:lang w:val="en-US" w:eastAsia="zh-CN"/>
        </w:rPr>
        <w:t>0</w:t>
      </w:r>
      <w:r>
        <w:rPr>
          <w:rFonts w:ascii="Times New Roman" w:eastAsia="仿宋_GB2312"/>
          <w:b w:val="0"/>
          <w:sz w:val="32"/>
          <w:szCs w:val="32"/>
        </w:rPr>
        <w:t>万元、政府采购服务支出</w:t>
      </w:r>
      <w:r>
        <w:rPr>
          <w:rFonts w:hint="eastAsia" w:ascii="Times New Roman" w:eastAsia="仿宋_GB2312"/>
          <w:b w:val="0"/>
          <w:sz w:val="32"/>
          <w:szCs w:val="32"/>
          <w:lang w:val="en-US" w:eastAsia="zh-CN"/>
        </w:rPr>
        <w:t>0</w:t>
      </w:r>
      <w:r>
        <w:rPr>
          <w:rFonts w:ascii="Times New Roman" w:eastAsia="仿宋_GB2312"/>
          <w:b w:val="0"/>
          <w:sz w:val="32"/>
          <w:szCs w:val="32"/>
        </w:rPr>
        <w:t>万元。授予中小企业合同金额</w:t>
      </w:r>
      <w:r>
        <w:rPr>
          <w:rFonts w:hint="eastAsia" w:ascii="Times New Roman" w:eastAsia="仿宋_GB2312"/>
          <w:b w:val="0"/>
          <w:sz w:val="32"/>
          <w:szCs w:val="32"/>
          <w:lang w:val="en-US" w:eastAsia="zh-CN"/>
        </w:rPr>
        <w:t>0</w:t>
      </w:r>
      <w:r>
        <w:rPr>
          <w:rFonts w:ascii="Times New Roman" w:eastAsia="仿宋_GB2312"/>
          <w:b w:val="0"/>
          <w:sz w:val="32"/>
          <w:szCs w:val="32"/>
        </w:rPr>
        <w:t>万元，占政府采购支出总额的</w:t>
      </w:r>
      <w:r>
        <w:rPr>
          <w:rFonts w:hint="eastAsia" w:ascii="Times New Roman" w:eastAsia="仿宋_GB2312"/>
          <w:b w:val="0"/>
          <w:sz w:val="32"/>
          <w:szCs w:val="32"/>
          <w:lang w:val="en-US" w:eastAsia="zh-CN"/>
        </w:rPr>
        <w:t>0</w:t>
      </w:r>
      <w:r>
        <w:rPr>
          <w:rFonts w:ascii="Times New Roman" w:eastAsia="仿宋_GB2312"/>
          <w:b w:val="0"/>
          <w:sz w:val="32"/>
          <w:szCs w:val="32"/>
        </w:rPr>
        <w:t>%，其中授予小微企业合同金额</w:t>
      </w:r>
      <w:r>
        <w:rPr>
          <w:rFonts w:hint="eastAsia" w:ascii="Times New Roman" w:eastAsia="仿宋_GB2312"/>
          <w:b w:val="0"/>
          <w:sz w:val="32"/>
          <w:szCs w:val="32"/>
          <w:lang w:val="en-US" w:eastAsia="zh-CN"/>
        </w:rPr>
        <w:t>0</w:t>
      </w:r>
      <w:r>
        <w:rPr>
          <w:rFonts w:ascii="Times New Roman" w:eastAsia="仿宋_GB2312"/>
          <w:b w:val="0"/>
          <w:sz w:val="32"/>
          <w:szCs w:val="32"/>
        </w:rPr>
        <w:t>万元，占政府采购支出总额的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14:paraId="23A8AF49">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0266C0A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1辆，比上年增加0辆，主要是消防站工具车1辆。其中，副部（省）级及以上领导用车0辆，主要负责人用车0辆，机要通信用车0辆，应急保障用车0辆，执法执勤用车0辆，特种专业技术用车0辆，离退休干部用车0辆，其他用车1辆，其他用车主要是消防站工具车1辆。单位价值100万元（含）以上设备（不含车辆）1台（套）。</w:t>
      </w:r>
    </w:p>
    <w:p w14:paraId="259EB10E">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7A329AE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6C86B06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0万元（决算金额）。其中，一般公共预算项目0个，涉及资金0万元，占一般公共预算项目支出总额的0%；政府性基金预算项目0个，涉及资金0万元，占政府性基金预算项目支出总额的0%；国有资本经营预算项目0个，涉及资金0万元，占国有资本经营预算项目支出总额的0%。</w:t>
      </w:r>
    </w:p>
    <w:p w14:paraId="2D938B2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组织对等0个项目开展了部门重点评价，涉及一般公共预算支出0万元，政府性基金预算支出0万元，国有资本经营预算支出0万元。</w:t>
      </w:r>
    </w:p>
    <w:p w14:paraId="3F384ABC">
      <w:pPr>
        <w:widowControl/>
        <w:numPr>
          <w:ilvl w:val="0"/>
          <w:numId w:val="2"/>
        </w:numPr>
        <w:spacing w:before="0" w:beforeLines="0" w:beforeAutospacing="0" w:after="0" w:afterLines="0" w:afterAutospacing="0" w:line="360" w:lineRule="auto"/>
        <w:ind w:firstLine="643" w:firstLineChars="200"/>
        <w:jc w:val="left"/>
        <w:rPr>
          <w:rFonts w:ascii="Times New Roman" w:eastAsia="仿宋_GB2312"/>
          <w:b/>
          <w:sz w:val="32"/>
          <w:szCs w:val="32"/>
        </w:rPr>
      </w:pPr>
      <w:r>
        <w:rPr>
          <w:rFonts w:ascii="Times New Roman" w:eastAsia="仿宋_GB2312"/>
          <w:b/>
          <w:sz w:val="32"/>
          <w:szCs w:val="32"/>
        </w:rPr>
        <w:t>部门决算中项目绩效自评结果</w:t>
      </w:r>
    </w:p>
    <w:p w14:paraId="4BF67CAE">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无</w:t>
      </w:r>
    </w:p>
    <w:p w14:paraId="41F171B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14:paraId="6ABD228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无</w:t>
      </w:r>
      <w:bookmarkStart w:id="0" w:name="_GoBack"/>
      <w:bookmarkEnd w:id="0"/>
    </w:p>
    <w:p w14:paraId="06418FB1">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414EFB2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1.本单位2024年度政府性基金预算财政拨款收入支出决算表（公开07表）、国有资本经营预算财政拨款支出决算表（公开08表）、财政拨款“三公”经费支出决算表（公开09表）无相应收支，故空表列示。</w:t>
      </w:r>
    </w:p>
    <w:p w14:paraId="0060785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0128DD2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7F065E0A">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6A0B91B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02CADDC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21393AA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018CD5E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0F702E6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323774F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0EC8FCC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077653A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4094C99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1035FCC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18F00AD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761C3CB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4822B35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547956B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01767DE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0592F97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074A219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68675BC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footerReference r:id="rId11"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26F05071-1744-4434-8AB3-4852C3F48DEE}"/>
  </w:font>
  <w:font w:name="黑体">
    <w:panose1 w:val="02010609060101010101"/>
    <w:charset w:val="86"/>
    <w:family w:val="auto"/>
    <w:pitch w:val="default"/>
    <w:sig w:usb0="800002BF" w:usb1="38CF7CFA" w:usb2="00000016" w:usb3="00000000" w:csb0="00040001" w:csb1="00000000"/>
    <w:embedRegular r:id="rId2" w:fontKey="{8711B1CA-A2E1-42C8-8554-36751810BDE2}"/>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8B6813D8-5E13-4202-97C4-3B6B91426152}"/>
  </w:font>
  <w:font w:name="仿宋">
    <w:panose1 w:val="02010609060101010101"/>
    <w:charset w:val="86"/>
    <w:family w:val="modern"/>
    <w:pitch w:val="default"/>
    <w:sig w:usb0="800002BF" w:usb1="38CF7CFA" w:usb2="00000016" w:usb3="00000000" w:csb0="00040001" w:csb1="00000000"/>
    <w:embedRegular r:id="rId4" w:fontKey="{B1B55794-9253-4281-91F4-C0C9BCB50D86}"/>
  </w:font>
  <w:font w:name="Calibri Light">
    <w:panose1 w:val="020F0302020204030204"/>
    <w:charset w:val="00"/>
    <w:family w:val="auto"/>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FD9A80DE-40E2-437D-83C9-66D4671060AB}"/>
  </w:font>
  <w:font w:name="方正小标宋_GBK">
    <w:panose1 w:val="02000000000000000000"/>
    <w:charset w:val="86"/>
    <w:family w:val="script"/>
    <w:pitch w:val="default"/>
    <w:sig w:usb0="A00002BF" w:usb1="38CF7CFA" w:usb2="00082016" w:usb3="00000000" w:csb0="00040001" w:csb1="00000000"/>
    <w:embedRegular r:id="rId6" w:fontKey="{FDE19372-8092-4847-B019-708AC65B4263}"/>
  </w:font>
  <w:font w:name="仿宋_GB2312">
    <w:panose1 w:val="02010609030101010101"/>
    <w:charset w:val="86"/>
    <w:family w:val="auto"/>
    <w:pitch w:val="default"/>
    <w:sig w:usb0="00000001" w:usb1="080E0000" w:usb2="00000000" w:usb3="00000000" w:csb0="00040000" w:csb1="00000000"/>
    <w:embedRegular r:id="rId7" w:fontKey="{95A68218-B6BF-48B3-BA19-07857B4C5960}"/>
  </w:font>
  <w:font w:name="ArialUnicodeMS">
    <w:altName w:val="Malgun Gothic"/>
    <w:panose1 w:val="00000000000000000000"/>
    <w:charset w:val="81"/>
    <w:family w:val="auto"/>
    <w:pitch w:val="default"/>
    <w:sig w:usb0="00000000" w:usb1="00000000" w:usb2="00000010" w:usb3="00000000" w:csb0="00080001" w:csb1="00000000"/>
    <w:embedRegular r:id="rId8" w:fontKey="{98ACED53-87A4-477C-8943-76B76502F5DD}"/>
  </w:font>
  <w:font w:name="Malgun Gothic">
    <w:panose1 w:val="020B0503020000020004"/>
    <w:charset w:val="81"/>
    <w:family w:val="auto"/>
    <w:pitch w:val="default"/>
    <w:sig w:usb0="9000002F" w:usb1="29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DE8D3FC4-107A-496A-8684-6B147A5D7A6D}"/>
  </w:font>
  <w:font w:name="WPSEMBED1">
    <w:panose1 w:val="02010609030101010101"/>
    <w:charset w:val="86"/>
    <w:family w:val="auto"/>
    <w:pitch w:val="default"/>
    <w:sig w:usb0="00000001" w:usb1="080E0000" w:usb2="00000000" w:usb3="00000000" w:csb0="00040000" w:csb1="00000000"/>
  </w:font>
  <w:font w:name="WPSEMBED2">
    <w:panose1 w:val="02000000000000000000"/>
    <w:charset w:val="86"/>
    <w:family w:val="auto"/>
    <w:pitch w:val="default"/>
    <w:sig w:usb0="A00002BF" w:usb1="38CF7CFA" w:usb2="00082016" w:usb3="00000000" w:csb0="00040001" w:csb1="00000000"/>
  </w:font>
  <w:font w:name="WPSEMBED3">
    <w:panose1 w:val="02010609030101010101"/>
    <w:charset w:val="86"/>
    <w:family w:val="auto"/>
    <w:pitch w:val="default"/>
    <w:sig w:usb0="00000001" w:usb1="080E0000" w:usb2="00000000" w:usb3="00000000" w:csb0="00040000" w:csb1="00000000"/>
  </w:font>
  <w:font w:name="WPSEMBED4">
    <w:panose1 w:val="02000000000000000000"/>
    <w:charset w:val="86"/>
    <w:family w:val="auto"/>
    <w:pitch w:val="default"/>
    <w:sig w:usb0="A00002BF" w:usb1="184F6CFA" w:usb2="00000012" w:usb3="00000000" w:csb0="00040001" w:csb1="00000000"/>
  </w:font>
  <w:font w:name="DengXian-Regular">
    <w:altName w:val="宋体"/>
    <w:panose1 w:val="00000000000000000000"/>
    <w:charset w:val="86"/>
    <w:family w:val="auto"/>
    <w:pitch w:val="default"/>
    <w:sig w:usb0="00000000" w:usb1="00000000" w:usb2="00000010" w:usb3="00000000" w:csb0="00040001" w:csb1="00000000"/>
    <w:embedRegular r:id="rId10" w:fontKey="{65584022-4904-4474-A09A-6DF43403B86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D9C5D7">
    <w:pPr>
      <w:jc w:val="center"/>
    </w:pPr>
    <w:r>
      <w:fldChar w:fldCharType="begin"/>
    </w:r>
    <w:r>
      <w:instrText xml:space="preserve">PAGE</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D9C5D7">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D9C5D7">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D9C5D7">
    <w:pPr>
      <w:jc w:val="center"/>
    </w:pPr>
    <w:r>
      <w:fldChar w:fldCharType="begin"/>
    </w:r>
    <w:r>
      <w:instrText xml:space="preserve">PAGE</w:instrText>
    </w:r>
    <w:r>
      <w:fldChar w:fldCharType="separate"/>
    </w:r>
    <w:r>
      <w:t>1</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D9C5D7">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8381B5A"/>
    <w:multiLevelType w:val="singleLevel"/>
    <w:tmpl w:val="08381B5A"/>
    <w:lvl w:ilvl="0" w:tentative="0">
      <w:start w:val="2"/>
      <w:numFmt w:val="chineseCounting"/>
      <w:suff w:val="nothing"/>
      <w:lvlText w:val="（%1）"/>
      <w:lvlJc w:val="left"/>
      <w:rPr>
        <w:rFonts w:hint="eastAsia"/>
      </w:rPr>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91AE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6B6466"/>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7B5694E"/>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5E7967"/>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67B1C"/>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14E53"/>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83289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647AF5"/>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chart" Target="charts/chart6.xml"/><Relationship Id="rId18" Type="http://schemas.openxmlformats.org/officeDocument/2006/relationships/chart" Target="charts/chart5.xml"/><Relationship Id="rId17" Type="http://schemas.openxmlformats.org/officeDocument/2006/relationships/chart" Target="charts/chart4.xml"/><Relationship Id="rId16" Type="http://schemas.openxmlformats.org/officeDocument/2006/relationships/chart" Target="charts/chart3.xml"/><Relationship Id="rId15" Type="http://schemas.openxmlformats.org/officeDocument/2006/relationships/chart" Target="charts/chart2.xml"/><Relationship Id="rId14" Type="http://schemas.openxmlformats.org/officeDocument/2006/relationships/chart" Target="charts/chart1.xml"/><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2.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4.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5.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6.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417.97</c:v>
                </c:pt>
                <c:pt idx="1">
                  <c:v>359.95</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3599478.2</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3596478.2</c:v>
                </c:pt>
                <c:pt idx="1">
                  <c:v>3000</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417.71</c:v>
                </c:pt>
                <c:pt idx="1">
                  <c:v>417.97</c:v>
                </c:pt>
                <c:pt idx="2">
                  <c:v>417.71</c:v>
                </c:pt>
                <c:pt idx="3">
                  <c:v>417.97</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359.95</c:v>
                </c:pt>
                <c:pt idx="1">
                  <c:v>359.95</c:v>
                </c:pt>
                <c:pt idx="2">
                  <c:v>359.95</c:v>
                </c:pt>
                <c:pt idx="3">
                  <c:v>359.95</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375.07</c:v>
                </c:pt>
                <c:pt idx="1">
                  <c:v>375.07</c:v>
                </c:pt>
                <c:pt idx="2">
                  <c:v>375.07</c:v>
                </c:pt>
                <c:pt idx="3">
                  <c:v>375.07</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359.95</c:v>
                </c:pt>
                <c:pt idx="1">
                  <c:v>359.95</c:v>
                </c:pt>
                <c:pt idx="2">
                  <c:v>359.95</c:v>
                </c:pt>
                <c:pt idx="3">
                  <c:v>359.95</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359.65</c:v>
                </c:pt>
                <c:pt idx="1">
                  <c:v>0</c:v>
                </c:pt>
                <c:pt idx="2">
                  <c:v>0</c:v>
                </c:pt>
                <c:pt idx="3">
                  <c:v>0</c:v>
                </c:pt>
                <c:pt idx="4">
                  <c:v>0</c:v>
                </c:pt>
                <c:pt idx="5">
                  <c:v>0</c:v>
                </c:pt>
                <c:pt idx="6">
                  <c:v>0</c:v>
                </c:pt>
                <c:pt idx="7">
                  <c:v>0</c:v>
                </c:pt>
                <c:pt idx="8">
                  <c:v>0.3</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31</Pages>
  <Words>1640</Words>
  <Characters>1931</Characters>
  <Lines>86</Lines>
  <Paragraphs>24</Paragraphs>
  <TotalTime>1</TotalTime>
  <ScaleCrop>false</ScaleCrop>
  <LinksUpToDate>false</LinksUpToDate>
  <CharactersWithSpaces>2149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很久以后</cp:lastModifiedBy>
  <cp:lastPrinted>2023-08-04T01:00:00Z</cp:lastPrinted>
  <dcterms:modified xsi:type="dcterms:W3CDTF">2025-12-05T06:44:56Z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eyJoZGlkIjoiODUzZDE3OTNiYzE2NTdhNTZjODlkY2UwNGY0ZGEwMzMiLCJ1c2VySWQiOiI2NDY5MzA5MDgifQ==</vt:lpwstr>
  </property>
</Properties>
</file>