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right="0" w:rightChars="0" w:firstLine="0" w:firstLineChars="0"/>
        <w:jc w:val="center"/>
        <w:rPr>
          <w:rFonts w:hint="eastAsia" w:ascii="宋体" w:hAnsi="宋体" w:eastAsia="宋体" w:cs="宋体"/>
          <w:sz w:val="44"/>
          <w:szCs w:val="44"/>
          <w:lang w:val="en-US" w:eastAsia="zh-CN"/>
        </w:rPr>
      </w:pPr>
      <w:r>
        <w:rPr>
          <w:rFonts w:hint="eastAsia" w:ascii="宋体" w:hAnsi="宋体" w:eastAsia="宋体" w:cs="宋体"/>
          <w:sz w:val="44"/>
          <w:szCs w:val="44"/>
          <w:lang w:val="en-US" w:eastAsia="zh-CN"/>
        </w:rPr>
        <w:t>新华区财政局</w:t>
      </w:r>
    </w:p>
    <w:p>
      <w:pPr>
        <w:ind w:left="0" w:leftChars="0" w:right="0" w:rightChars="0" w:firstLine="0" w:firstLineChars="0"/>
        <w:jc w:val="center"/>
        <w:rPr>
          <w:rFonts w:hint="eastAsia" w:ascii="宋体" w:hAnsi="宋体" w:eastAsia="宋体" w:cs="宋体"/>
          <w:sz w:val="44"/>
          <w:szCs w:val="44"/>
          <w:lang w:val="en-US" w:eastAsia="zh-CN"/>
        </w:rPr>
      </w:pPr>
      <w:r>
        <w:rPr>
          <w:rFonts w:hint="eastAsia" w:ascii="宋体" w:hAnsi="宋体" w:eastAsia="宋体" w:cs="宋体"/>
          <w:sz w:val="44"/>
          <w:szCs w:val="44"/>
          <w:lang w:val="en-US" w:eastAsia="zh-CN"/>
        </w:rPr>
        <w:t>关于石家庄市新华区第十</w:t>
      </w:r>
      <w:r>
        <w:rPr>
          <w:rFonts w:hint="eastAsia" w:ascii="宋体" w:hAnsi="宋体" w:cs="宋体"/>
          <w:sz w:val="44"/>
          <w:szCs w:val="44"/>
          <w:lang w:val="en-US" w:eastAsia="zh-CN"/>
        </w:rPr>
        <w:t>七</w:t>
      </w:r>
      <w:r>
        <w:rPr>
          <w:rFonts w:hint="eastAsia" w:ascii="宋体" w:hAnsi="宋体" w:eastAsia="宋体" w:cs="宋体"/>
          <w:sz w:val="44"/>
          <w:szCs w:val="44"/>
          <w:lang w:val="en-US" w:eastAsia="zh-CN"/>
        </w:rPr>
        <w:t>届人大常委会第</w:t>
      </w:r>
      <w:r>
        <w:rPr>
          <w:rFonts w:hint="eastAsia" w:ascii="宋体" w:hAnsi="宋体" w:cs="宋体"/>
          <w:sz w:val="44"/>
          <w:szCs w:val="44"/>
          <w:lang w:val="en-US" w:eastAsia="zh-CN"/>
        </w:rPr>
        <w:t>二十九</w:t>
      </w:r>
      <w:r>
        <w:rPr>
          <w:rFonts w:hint="eastAsia" w:ascii="宋体" w:hAnsi="宋体" w:eastAsia="宋体" w:cs="宋体"/>
          <w:sz w:val="44"/>
          <w:szCs w:val="44"/>
          <w:lang w:val="en-US" w:eastAsia="zh-CN"/>
        </w:rPr>
        <w:t>次会议审议意见书的答复</w:t>
      </w:r>
    </w:p>
    <w:p>
      <w:pPr>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关于对《石家庄市新华区人大常委会关于全区国有资产管理情况的审议意见》所提到的内容，我局答复如下：</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一、关于“强化资产管理意识，明确管理职责，完善管理制度”</w:t>
      </w:r>
    </w:p>
    <w:p>
      <w:pPr>
        <w:adjustRightInd w:val="0"/>
        <w:snapToGrid w:val="0"/>
        <w:spacing w:line="56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健全标准体系,提升规范化管理。督促全区行政事业单位严格按照国家统一的会计制度规范国有资产会计核算和管理,同时借鉴先进城区管理经验,积极研究建立经管资产和计量计价的会计体系,确保各类国有资产统计结果真实、准确、可核查。</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进一步严格财务和资产管理制度，改变重财务、轻资产意识，</w:t>
      </w:r>
      <w:r>
        <w:rPr>
          <w:rFonts w:hint="eastAsia" w:ascii="仿宋_GB2312" w:hAnsi="仿宋_GB2312" w:eastAsia="仿宋_GB2312" w:cs="仿宋_GB2312"/>
          <w:sz w:val="32"/>
          <w:szCs w:val="32"/>
          <w:lang w:val="en-US" w:eastAsia="zh-CN"/>
        </w:rPr>
        <w:t>明确</w:t>
      </w:r>
      <w:r>
        <w:rPr>
          <w:rFonts w:hint="eastAsia" w:ascii="仿宋_GB2312" w:hAnsi="仿宋_GB2312" w:eastAsia="仿宋_GB2312" w:cs="仿宋_GB2312"/>
          <w:sz w:val="32"/>
          <w:szCs w:val="32"/>
        </w:rPr>
        <w:t>专人负责资产管理，确保固定资产从购置、使用直至最后报废每个环节都由专人负责，人员变动时做好资产的交接保管。</w:t>
      </w:r>
      <w:r>
        <w:rPr>
          <w:rFonts w:hint="default" w:ascii="仿宋_GB2312" w:hAnsi="Arial" w:eastAsia="仿宋_GB2312" w:cs="仿宋_GB2312"/>
          <w:color w:val="333333"/>
          <w:sz w:val="32"/>
          <w:szCs w:val="32"/>
        </w:rPr>
        <w:t>三是强化资产监管。明确规定国有资产购置处置的审批权限和程序，严格资产配置标准化，杜绝超标准配置</w:t>
      </w:r>
      <w:r>
        <w:rPr>
          <w:rFonts w:hint="eastAsia" w:ascii="仿宋_GB2312" w:hAnsi="Arial" w:eastAsia="仿宋_GB2312" w:cs="仿宋_GB2312"/>
          <w:color w:val="333333"/>
          <w:sz w:val="32"/>
          <w:szCs w:val="32"/>
          <w:lang w:eastAsia="zh-CN"/>
        </w:rPr>
        <w:t>，</w:t>
      </w:r>
      <w:r>
        <w:rPr>
          <w:rFonts w:hint="default" w:ascii="仿宋_GB2312" w:hAnsi="Arial" w:eastAsia="仿宋_GB2312" w:cs="仿宋_GB2312"/>
          <w:color w:val="333333"/>
          <w:sz w:val="32"/>
          <w:szCs w:val="32"/>
        </w:rPr>
        <w:t>严格资产处置程序化，实行“收支两条线”管理</w:t>
      </w:r>
      <w:r>
        <w:rPr>
          <w:rFonts w:hint="eastAsia" w:ascii="仿宋_GB2312" w:hAnsi="Arial" w:eastAsia="仿宋_GB2312" w:cs="仿宋_GB2312"/>
          <w:color w:val="333333"/>
          <w:sz w:val="32"/>
          <w:szCs w:val="32"/>
          <w:lang w:eastAsia="zh-CN"/>
        </w:rPr>
        <w:t>，</w:t>
      </w:r>
      <w:r>
        <w:rPr>
          <w:rFonts w:hint="eastAsia" w:ascii="仿宋_GB2312" w:hAnsi="仿宋_GB2312" w:eastAsia="仿宋_GB2312" w:cs="仿宋_GB2312"/>
          <w:sz w:val="32"/>
          <w:szCs w:val="32"/>
        </w:rPr>
        <w:t>通过有效的管理手段，确保国有资产不流失。</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关于“加强国企监管制度建设，进一步完善监管体制”</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jc w:val="both"/>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   </w:t>
      </w:r>
      <w:r>
        <w:rPr>
          <w:rFonts w:hint="eastAsia" w:ascii="仿宋_GB2312" w:hAnsi="仿宋_GB2312" w:eastAsia="仿宋_GB2312" w:cs="仿宋_GB2312"/>
          <w:sz w:val="32"/>
          <w:szCs w:val="32"/>
          <w:lang w:val="en-US" w:eastAsia="zh-CN"/>
        </w:rPr>
        <w:t>给企业下发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新华区行政</w:t>
      </w:r>
      <w:r>
        <w:rPr>
          <w:rFonts w:hint="eastAsia" w:ascii="仿宋_GB2312" w:hAnsi="仿宋_GB2312" w:eastAsia="仿宋_GB2312" w:cs="仿宋_GB2312"/>
          <w:sz w:val="32"/>
          <w:szCs w:val="32"/>
        </w:rPr>
        <w:t>事业单位国有资产管理办法》</w:t>
      </w:r>
      <w:r>
        <w:rPr>
          <w:rFonts w:hint="eastAsia" w:ascii="仿宋_GB2312" w:hAnsi="仿宋_GB2312" w:eastAsia="仿宋_GB2312" w:cs="仿宋_GB2312"/>
          <w:sz w:val="32"/>
          <w:szCs w:val="32"/>
          <w:lang w:eastAsia="zh-CN"/>
        </w:rPr>
        <w:t>（石新政〔</w:t>
      </w: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9号</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《新华区行政事业单位国有资产</w:t>
      </w:r>
      <w:r>
        <w:rPr>
          <w:rFonts w:hint="eastAsia" w:ascii="仿宋_GB2312" w:hAnsi="仿宋_GB2312" w:eastAsia="仿宋_GB2312" w:cs="仿宋_GB2312"/>
          <w:sz w:val="32"/>
          <w:szCs w:val="32"/>
          <w:lang w:val="en-US" w:eastAsia="zh-CN"/>
        </w:rPr>
        <w:t>出租出借管理办法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石新</w:t>
      </w:r>
      <w:r>
        <w:rPr>
          <w:rFonts w:hint="eastAsia" w:ascii="仿宋_GB2312" w:hAnsi="仿宋_GB2312" w:eastAsia="仿宋_GB2312" w:cs="仿宋_GB2312"/>
          <w:sz w:val="32"/>
          <w:szCs w:val="32"/>
        </w:rPr>
        <w:t>财〔20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号）</w:t>
      </w:r>
      <w:r>
        <w:rPr>
          <w:rFonts w:hint="eastAsia" w:ascii="仿宋_GB2312" w:hAnsi="仿宋_GB2312" w:eastAsia="仿宋_GB2312" w:cs="仿宋_GB2312"/>
          <w:b w:val="0"/>
          <w:bCs w:val="0"/>
          <w:sz w:val="32"/>
          <w:szCs w:val="32"/>
          <w:lang w:val="en-US" w:eastAsia="zh-CN"/>
        </w:rPr>
        <w:t>文件，参照规定执行。一是对国有企业的国有资产进行详细登记，明确资产的种类、数量、价值等信息，为监管提供准确的数据基础</w:t>
      </w:r>
      <w:r>
        <w:rPr>
          <w:rFonts w:hint="eastAsia" w:ascii="仿宋_GB2312" w:hAnsi="仿宋_GB2312" w:eastAsia="仿宋_GB2312" w:cs="仿宋_GB2312"/>
          <w:sz w:val="32"/>
          <w:szCs w:val="32"/>
          <w:lang w:eastAsia="zh-CN"/>
        </w:rPr>
        <w:t>。二是规范国有企业资产处置行为，明确资产处置的程序和审批权限，防止国有资产被低价转让或流失。</w:t>
      </w:r>
      <w:r>
        <w:rPr>
          <w:rFonts w:hint="eastAsia" w:ascii="仿宋_GB2312" w:hAnsi="仿宋_GB2312" w:eastAsia="仿宋_GB2312" w:cs="仿宋_GB2312"/>
          <w:sz w:val="32"/>
          <w:szCs w:val="32"/>
          <w:lang w:val="en-US" w:eastAsia="zh-CN"/>
        </w:rPr>
        <w:t>定期对国企进行财务审计，确保国企财务状况和经营合规。鼓励国企参与新型城镇化、城市更新等重点项目建设，服务全区高质量发展，扎实推进国企资产资源整合，提升国企主业显示度和市场竞争力。</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三、关于“加强国有资产规范管理意识，提升国有资产监管效能”</w:t>
      </w:r>
    </w:p>
    <w:p>
      <w:pPr>
        <w:adjustRightInd w:val="0"/>
        <w:snapToGrid w:val="0"/>
        <w:spacing w:line="560" w:lineRule="exact"/>
        <w:ind w:firstLine="640" w:firstLineChars="200"/>
        <w:jc w:val="both"/>
        <w:rPr>
          <w:rFonts w:hint="eastAsia" w:ascii="仿宋_GB2312" w:hAnsi="仿宋_GB2312" w:eastAsia="仿宋_GB2312" w:cs="仿宋_GB2312"/>
          <w:sz w:val="32"/>
          <w:szCs w:val="32"/>
        </w:rPr>
      </w:pPr>
      <w:r>
        <w:rPr>
          <w:rFonts w:hint="eastAsia" w:ascii="仿宋_GB2312" w:hAnsi="Arial" w:eastAsia="仿宋_GB2312" w:cs="仿宋_GB2312"/>
          <w:color w:val="333333"/>
          <w:sz w:val="32"/>
          <w:szCs w:val="32"/>
          <w:lang w:val="en-US" w:eastAsia="zh-CN"/>
        </w:rPr>
        <w:t>一是</w:t>
      </w:r>
      <w:r>
        <w:rPr>
          <w:rFonts w:hint="default" w:ascii="仿宋_GB2312" w:hAnsi="Arial" w:eastAsia="仿宋_GB2312" w:cs="仿宋_GB2312"/>
          <w:color w:val="333333"/>
          <w:sz w:val="32"/>
          <w:szCs w:val="32"/>
        </w:rPr>
        <w:t>逐步完善国有资产管理报告工作机制。根据《中共中央关于建立国务院向全国人大常委会报告国有资产管理情况制度的意见》（中发〔2017〕33号）文件精神，在做好</w:t>
      </w:r>
      <w:r>
        <w:rPr>
          <w:rFonts w:hint="eastAsia" w:ascii="仿宋_GB2312" w:hAnsi="Arial" w:eastAsia="仿宋_GB2312" w:cs="仿宋_GB2312"/>
          <w:color w:val="333333"/>
          <w:sz w:val="32"/>
          <w:szCs w:val="32"/>
          <w:lang w:val="en-US" w:eastAsia="zh-CN"/>
        </w:rPr>
        <w:t>全区</w:t>
      </w:r>
      <w:r>
        <w:rPr>
          <w:rFonts w:hint="default" w:ascii="仿宋_GB2312" w:hAnsi="Arial" w:eastAsia="仿宋_GB2312" w:cs="仿宋_GB2312"/>
          <w:color w:val="333333"/>
          <w:sz w:val="32"/>
          <w:szCs w:val="32"/>
        </w:rPr>
        <w:t>行政事业性国有资产管理情况报告的基础上，主动担当，</w:t>
      </w:r>
      <w:r>
        <w:rPr>
          <w:rFonts w:hint="eastAsia" w:ascii="仿宋_GB2312" w:hAnsi="仿宋_GB2312" w:eastAsia="仿宋_GB2312" w:cs="仿宋_GB2312"/>
          <w:sz w:val="32"/>
          <w:szCs w:val="32"/>
        </w:rPr>
        <w:t>建立全面规范、公开透明的国有资产管理情况报告制度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积极推进国有资产信息公开，提高资产管理工作透明度，确实履行好对国有资产的监督管理职责，促进政府国有资产管理工作，有效发挥国有资产在全区经济社会发展中的重要作用。</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rPr>
        <w:t>明确分工，落实责任,及时、准确、完整地提供国有资产管理情况，自觉接受人大监督。同时,积极推进国有资产信息公开，提高管理工作透明度，确保国有资产管理在阳光下运行。</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_GB2312" w:hAnsi="仿宋_GB2312" w:eastAsia="仿宋_GB2312" w:cs="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5120" w:firstLineChars="160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5120" w:firstLineChars="1600"/>
        <w:jc w:val="both"/>
        <w:textAlignment w:val="auto"/>
        <w:outlineLvl w:val="9"/>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新华区财政局</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2024年12月9日</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532D5A"/>
    <w:multiLevelType w:val="singleLevel"/>
    <w:tmpl w:val="BF532D5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655D6C"/>
    <w:rsid w:val="31655D6C"/>
    <w:rsid w:val="3D521FCD"/>
    <w:rsid w:val="58C94E47"/>
    <w:rsid w:val="624B0A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926</Words>
  <Characters>941</Characters>
  <Lines>0</Lines>
  <Paragraphs>0</Paragraphs>
  <TotalTime>25</TotalTime>
  <ScaleCrop>false</ScaleCrop>
  <LinksUpToDate>false</LinksUpToDate>
  <CharactersWithSpaces>975</CharactersWithSpaces>
  <Application>WPS Office_11.8.2.12119_F1E327BC-269C-435d-A152-05C5408002CA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2024-12-09T01:02:00Z</dcterms:created>
  <dc:creator>小薰</dc:creator>
  <cp:lastModifiedBy>小薰</cp:lastModifiedBy>
  <dcterms:modified xsi:type="dcterms:W3CDTF">2024-12-09T06:28:29Z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2052-11.8.2.12119</vt:lpwstr>
  </property>
  <property fmtid="{D5CDD505-2E9C-101B-9397-08002B2CF9AE}" pid="3" name="ICV">
    <vt:lpwstr>9F2AB56057664E638EB351B0A94C0185_13</vt:lpwstr>
  </property>
</Properties>
</file>