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0F3983"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石家庄市新华区人民政府</w:t>
      </w:r>
    </w:p>
    <w:p w14:paraId="0F95479A"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年度行政事业性国有资产管理</w:t>
      </w:r>
    </w:p>
    <w:p w14:paraId="3A9A5721"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情况的报告</w:t>
      </w:r>
    </w:p>
    <w:p w14:paraId="53C6D3BF">
      <w:pPr>
        <w:widowControl w:val="0"/>
        <w:spacing w:line="560" w:lineRule="exact"/>
        <w:ind w:firstLine="2240" w:firstLineChars="700"/>
        <w:rPr>
          <w:rFonts w:hint="eastAsia" w:ascii="楷体_GB2312" w:hAnsi="楷体_GB2312" w:eastAsia="楷体_GB2312" w:cs="楷体_GB2312"/>
          <w:caps/>
          <w:sz w:val="32"/>
          <w:szCs w:val="22"/>
        </w:rPr>
      </w:pPr>
    </w:p>
    <w:p w14:paraId="3F8B4FF1">
      <w:pPr>
        <w:widowControl w:val="0"/>
        <w:spacing w:line="560" w:lineRule="exact"/>
        <w:jc w:val="center"/>
        <w:rPr>
          <w:rFonts w:hint="eastAsia" w:ascii="楷体_GB2312" w:hAnsi="楷体_GB2312" w:eastAsia="楷体_GB2312" w:cs="楷体_GB2312"/>
          <w:caps/>
          <w:sz w:val="32"/>
          <w:szCs w:val="22"/>
        </w:rPr>
      </w:pPr>
      <w:r>
        <w:rPr>
          <w:rFonts w:hint="eastAsia" w:ascii="楷体_GB2312" w:hAnsi="楷体_GB2312" w:eastAsia="楷体_GB2312" w:cs="楷体_GB2312"/>
          <w:caps/>
          <w:sz w:val="32"/>
          <w:szCs w:val="22"/>
        </w:rPr>
        <w:t>新华区财政局局长  季伟</w:t>
      </w:r>
    </w:p>
    <w:p w14:paraId="772CAB07">
      <w:pPr>
        <w:pStyle w:val="6"/>
      </w:pPr>
    </w:p>
    <w:p w14:paraId="564104F3">
      <w:pPr>
        <w:widowControl w:val="0"/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各位代表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38048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现在，我代表区政府将202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年我区行政事业性国有资产管理工作情况报告如下：</w:t>
      </w:r>
    </w:p>
    <w:p w14:paraId="07B8B84E">
      <w:pPr>
        <w:pStyle w:val="7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rPr>
          <w:rFonts w:hint="eastAsia" w:ascii="黑体" w:hAnsi="黑体" w:eastAsia="黑体" w:cs="黑体"/>
          <w:b w:val="0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kern w:val="0"/>
          <w:sz w:val="32"/>
          <w:szCs w:val="32"/>
        </w:rPr>
        <w:t>行政事业单位国有资产基本情况</w:t>
      </w:r>
    </w:p>
    <w:p w14:paraId="3DCB71F7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rPr>
          <w:rFonts w:hint="eastAsia" w:ascii="楷体_GB2312" w:hAnsi="楷体_GB2312" w:eastAsia="楷体_GB2312" w:cs="楷体_GB2312"/>
          <w:b/>
          <w:bCs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 w:val="0"/>
          <w:kern w:val="0"/>
          <w:sz w:val="32"/>
          <w:szCs w:val="32"/>
        </w:rPr>
        <w:t>（一）机构、人员情况</w:t>
      </w:r>
    </w:p>
    <w:p w14:paraId="0AADD4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年度全区纳入国有资产信息上报单位共1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个，总编制人数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8578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人，实有人数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7319</w:t>
      </w:r>
      <w:r>
        <w:rPr>
          <w:rFonts w:hint="eastAsia" w:ascii="仿宋_GB2312" w:hAnsi="仿宋_GB2312" w:eastAsia="仿宋_GB2312" w:cs="仿宋_GB2312"/>
          <w:sz w:val="32"/>
          <w:szCs w:val="32"/>
        </w:rPr>
        <w:t>人。</w:t>
      </w:r>
    </w:p>
    <w:p w14:paraId="41615961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资产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整体情况</w:t>
      </w:r>
    </w:p>
    <w:p w14:paraId="38EBBF7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截止202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底</w:t>
      </w:r>
      <w:r>
        <w:rPr>
          <w:rFonts w:hint="eastAsia" w:ascii="仿宋_GB2312" w:hAnsi="仿宋_GB2312" w:eastAsia="仿宋_GB2312" w:cs="仿宋_GB2312"/>
          <w:sz w:val="32"/>
          <w:szCs w:val="32"/>
        </w:rPr>
        <w:t>，全区行政事业单位资产总量214808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55万元，同比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28.56</w:t>
      </w:r>
      <w:r>
        <w:rPr>
          <w:rFonts w:hint="eastAsia" w:ascii="仿宋_GB2312" w:hAnsi="仿宋_GB2312" w:eastAsia="仿宋_GB2312" w:cs="仿宋_GB2312"/>
          <w:sz w:val="32"/>
          <w:szCs w:val="32"/>
        </w:rPr>
        <w:t>%。其中，流动资产37642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71万元，在建工程28015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82万元，固定资产115143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57万元，无形资产22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966.61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万元，公共基础设施1013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65万元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，长期股权投资10026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19万元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。负债总额26102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43万元，同比下降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13.62</w:t>
      </w:r>
      <w:r>
        <w:rPr>
          <w:rFonts w:hint="eastAsia" w:ascii="仿宋_GB2312" w:hAnsi="仿宋_GB2312" w:eastAsia="仿宋_GB2312" w:cs="仿宋_GB2312"/>
          <w:sz w:val="32"/>
          <w:szCs w:val="32"/>
        </w:rPr>
        <w:t>%。净资产总额188706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11万元，同比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37.88</w:t>
      </w:r>
      <w:r>
        <w:rPr>
          <w:rFonts w:hint="eastAsia" w:ascii="仿宋_GB2312" w:hAnsi="仿宋_GB2312" w:eastAsia="仿宋_GB2312" w:cs="仿宋_GB2312"/>
          <w:sz w:val="32"/>
          <w:szCs w:val="32"/>
        </w:rPr>
        <w:t>%。资产占比详见下面附表：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6"/>
        <w:gridCol w:w="1698"/>
        <w:gridCol w:w="1997"/>
        <w:gridCol w:w="3036"/>
      </w:tblGrid>
      <w:tr w14:paraId="77379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32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5105C8B">
            <w:pPr>
              <w:tabs>
                <w:tab w:val="left" w:pos="8595"/>
              </w:tabs>
              <w:spacing w:line="560" w:lineRule="exact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sz w:val="32"/>
                <w:szCs w:val="32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资产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2BC37B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金额（万元）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4AC59FD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所占总量百分比（%）</w:t>
            </w:r>
          </w:p>
        </w:tc>
      </w:tr>
      <w:tr w14:paraId="44689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B72330">
            <w:pPr>
              <w:spacing w:line="560" w:lineRule="exact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资产总量      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60A187">
            <w:pPr>
              <w:spacing w:line="560" w:lineRule="exact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     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45E226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214808.55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22D88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100%</w:t>
            </w:r>
          </w:p>
        </w:tc>
      </w:tr>
      <w:tr w14:paraId="2846C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CF5A2B7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其中：      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609401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流动资产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50BA0EB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37642.71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2740F9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17.52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%</w:t>
            </w:r>
          </w:p>
        </w:tc>
      </w:tr>
      <w:tr w14:paraId="0AE12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F2547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            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68C4E92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在建工程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28B896A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28015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82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631051E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13.04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%</w:t>
            </w:r>
          </w:p>
        </w:tc>
      </w:tr>
      <w:tr w14:paraId="1F356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6AB930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             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7482B56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固定资产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AE32C1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115143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57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221525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53.61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%</w:t>
            </w:r>
          </w:p>
        </w:tc>
      </w:tr>
      <w:tr w14:paraId="7DF4C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A69061B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 xml:space="preserve">             </w:t>
            </w: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796AEC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无形资产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9EF052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966.61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45AD7A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10.7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%</w:t>
            </w:r>
          </w:p>
        </w:tc>
      </w:tr>
      <w:tr w14:paraId="6C932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E1668CD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D3FDE3B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基础设施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804A3E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1013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65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E183E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0.47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  <w:t>%</w:t>
            </w:r>
          </w:p>
        </w:tc>
      </w:tr>
      <w:tr w14:paraId="7055D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1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0DF89B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</w:p>
        </w:tc>
        <w:tc>
          <w:tcPr>
            <w:tcW w:w="1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B277804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eastAsia="zh-CN"/>
              </w:rPr>
              <w:t>长期股权投资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3B8544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10026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19</w:t>
            </w:r>
          </w:p>
        </w:tc>
        <w:tc>
          <w:tcPr>
            <w:tcW w:w="3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266577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szCs w:val="32"/>
                <w:lang w:val="en-US" w:eastAsia="zh-CN"/>
              </w:rPr>
              <w:t>4.66%</w:t>
            </w:r>
          </w:p>
        </w:tc>
      </w:tr>
    </w:tbl>
    <w:p w14:paraId="69AEB10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6" w:beforeLines="50" w:line="560" w:lineRule="exact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（三）固定资产情况</w:t>
      </w:r>
    </w:p>
    <w:p w14:paraId="7E41E13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经盘点统计</w:t>
      </w:r>
      <w:r>
        <w:rPr>
          <w:rFonts w:hint="eastAsia" w:ascii="仿宋_GB2312" w:hAnsi="仿宋_GB2312" w:eastAsia="仿宋_GB2312" w:cs="仿宋_GB2312"/>
          <w:sz w:val="32"/>
          <w:szCs w:val="32"/>
        </w:rPr>
        <w:t>，固定资产总额115143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57万元。其中，土地建筑物79085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81万元，设备26756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36万元，图书档案等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2630.85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万元，家具、用具等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6670.55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万元。固定资产配置占比详见下面附表：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8"/>
        <w:gridCol w:w="2952"/>
        <w:gridCol w:w="2004"/>
      </w:tblGrid>
      <w:tr w14:paraId="76783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FB86C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 xml:space="preserve"> 固定资产名称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85BD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  <w:lang w:eastAsia="zh-CN"/>
              </w:rPr>
              <w:t>金额</w:t>
            </w: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（万元）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E06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所占总量百分比</w:t>
            </w:r>
          </w:p>
        </w:tc>
      </w:tr>
      <w:tr w14:paraId="61555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2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E1DBE2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土地建筑物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6A9940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79085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81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F0391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68.68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%</w:t>
            </w:r>
          </w:p>
        </w:tc>
      </w:tr>
      <w:tr w14:paraId="208B6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1C06F5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设   备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8B343E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26756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36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5E722A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23.23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%</w:t>
            </w:r>
          </w:p>
        </w:tc>
      </w:tr>
      <w:tr w14:paraId="42E7E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CB4DF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图书档案等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125D04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2630.85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4703A8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2.28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%</w:t>
            </w:r>
          </w:p>
        </w:tc>
      </w:tr>
      <w:tr w14:paraId="3A6EF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C03F7A9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家具、用具等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70CC8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6670.55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96395D5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5.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81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%</w:t>
            </w:r>
          </w:p>
        </w:tc>
      </w:tr>
    </w:tbl>
    <w:p w14:paraId="007D1F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6" w:beforeLines="50" w:line="560" w:lineRule="exact"/>
        <w:ind w:left="-29700" w:hanging="101372" w:hangingChars="31679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行政事业性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国有资产管理情况</w:t>
      </w:r>
    </w:p>
    <w:p w14:paraId="288840EB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left="0" w:firstLine="0" w:firstLineChars="0"/>
        <w:jc w:val="both"/>
        <w:textAlignment w:val="auto"/>
        <w:rPr>
          <w:rFonts w:hint="default" w:ascii="仿宋" w:hAnsi="仿宋" w:eastAsia="仿宋_GB2312" w:cs="仿宋"/>
          <w:sz w:val="32"/>
          <w:szCs w:val="32"/>
          <w:lang w:val="en-US" w:eastAsia="zh-CN"/>
        </w:rPr>
      </w:pPr>
      <w:r>
        <w:rPr>
          <w:rFonts w:hint="eastAsia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，全区各部门坚持以习近平新时代中国特色社会主义思想为指导，牢固树立党政机关习惯过紧日子思想，认识落实“国家统一所有，政府分级监管，单位占有、使用和支配”管理体制，完善措施，切实履职，行政事业性国有资产管理取得新的成效。</w:t>
      </w:r>
    </w:p>
    <w:p w14:paraId="670A1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）加强资产使用环节管理，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严格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国有资产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出租出借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处置、调拨程序</w:t>
      </w:r>
    </w:p>
    <w:p w14:paraId="0A2F75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1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按照《新华区行政事业单位国有资产出租出借管理办法》（石新财〔2019〕32号）,财政局健全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</w:t>
      </w:r>
      <w:r>
        <w:rPr>
          <w:rFonts w:hint="eastAsia" w:ascii="仿宋_GB2312" w:hAnsi="仿宋_GB2312" w:eastAsia="仿宋_GB2312" w:cs="仿宋_GB2312"/>
          <w:sz w:val="32"/>
          <w:szCs w:val="32"/>
        </w:rPr>
        <w:t>有资产出租出借台账，严格履行出租出借报批程序和租赁合同备案制度。目前我区涉及出租单位共计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sz w:val="32"/>
          <w:szCs w:val="32"/>
        </w:rPr>
        <w:t>家，出租项目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164</w:t>
      </w:r>
      <w:r>
        <w:rPr>
          <w:rFonts w:hint="eastAsia" w:ascii="仿宋_GB2312" w:hAnsi="仿宋_GB2312" w:eastAsia="仿宋_GB2312" w:cs="仿宋_GB2312"/>
          <w:sz w:val="32"/>
          <w:szCs w:val="32"/>
        </w:rPr>
        <w:t>项。遵循“先评估后租赁”原则，规范区属行政事业单位房屋出租出借行为。按照非税收入“收支两条线”资金管理规定，确保出租收入及时足额入库。202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年全区行政事业单位国有资产出租收入实现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1031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 w14:paraId="10020F7C">
      <w:pPr>
        <w:keepNext w:val="0"/>
        <w:keepLines w:val="0"/>
        <w:pageBreakBefore w:val="0"/>
        <w:widowControl w:val="0"/>
        <w:tabs>
          <w:tab w:val="left" w:pos="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严格执行《新华区行政事业单位国有资产管理办法》</w:t>
      </w:r>
    </w:p>
    <w:p w14:paraId="141A3504">
      <w:pPr>
        <w:keepNext w:val="0"/>
        <w:keepLines w:val="0"/>
        <w:pageBreakBefore w:val="0"/>
        <w:widowControl w:val="0"/>
        <w:tabs>
          <w:tab w:val="left" w:pos="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石新财〔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规范管理国有资产处置行为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不断提升资产管理水平。202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年共处置资产原值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2089.89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万元，残值收入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 w14:paraId="197972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推进资产共享制度，鼓励跨部门、跨行业资产调剂和共享共用，既解决了部门困难，又节省了财政资金，有效提高了固定资产使用效益。202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年共对2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个单位的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937.89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万元资产进行了资产调拨。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 </w:t>
      </w:r>
    </w:p>
    <w:p w14:paraId="5F2DEC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）加强监督检查，及时督促审计问题整改落实</w:t>
      </w:r>
    </w:p>
    <w:p w14:paraId="72B2AF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2"/>
        <w:jc w:val="both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充分发挥财政监督职能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加强监督检查，做好国有资产日常和专项检查，及时督促问题单位进行整改。202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年财政局和审计局联合对各单位国有资产出租出借、收益缴纳入库等情况进行了专项检查，对发现的问题，制定了整改方案并限期进行了整改。</w:t>
      </w:r>
      <w:r>
        <w:rPr>
          <w:rFonts w:hint="eastAsia" w:ascii="楷体" w:hAnsi="楷体" w:eastAsia="楷体" w:cs="楷体"/>
          <w:sz w:val="32"/>
          <w:szCs w:val="32"/>
        </w:rPr>
        <w:t xml:space="preserve">   </w:t>
      </w:r>
    </w:p>
    <w:p w14:paraId="39D71F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2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（三）盘活资产，提高资产利用效率。</w:t>
      </w:r>
    </w:p>
    <w:p w14:paraId="762D053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eastAsia="zh-CN"/>
        </w:rPr>
        <w:t>优化资源配置，切实提高行政事业性国有资产使用效率。按照市局《关于盘活行政事业单位国有资产的指导意见》，制定资产盘活工作实施方案，有效盘活低效、闲置资产。通过部门（单位）间无偿划转等方式，盘活车辆、办公设备家具等资产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/>
        </w:rPr>
        <w:t>14984</w:t>
      </w:r>
      <w:r>
        <w:rPr>
          <w:rFonts w:hint="eastAsia" w:ascii="仿宋_GB2312" w:hAnsi="仿宋_GB2312" w:cs="仿宋_GB2312"/>
          <w:kern w:val="2"/>
          <w:sz w:val="32"/>
          <w:szCs w:val="32"/>
        </w:rPr>
        <w:t>台（</w:t>
      </w:r>
      <w:r>
        <w:rPr>
          <w:rFonts w:hint="eastAsia" w:ascii="仿宋_GB2312" w:hAnsi="仿宋_GB2312" w:cs="仿宋_GB2312"/>
          <w:kern w:val="2"/>
          <w:sz w:val="32"/>
          <w:szCs w:val="32"/>
          <w:lang w:eastAsia="zh-CN"/>
        </w:rPr>
        <w:t>件</w:t>
      </w:r>
      <w:r>
        <w:rPr>
          <w:rFonts w:hint="eastAsia" w:ascii="仿宋_GB2312" w:hAnsi="仿宋_GB2312" w:cs="仿宋_GB2312"/>
          <w:kern w:val="2"/>
          <w:sz w:val="32"/>
          <w:szCs w:val="32"/>
        </w:rPr>
        <w:t>）</w:t>
      </w:r>
      <w:r>
        <w:rPr>
          <w:rFonts w:hint="eastAsia" w:ascii="仿宋_GB2312" w:hAnsi="仿宋_GB2312" w:cs="仿宋_GB2312"/>
          <w:kern w:val="2"/>
          <w:sz w:val="32"/>
          <w:szCs w:val="32"/>
          <w:lang w:eastAsia="zh-CN"/>
        </w:rPr>
        <w:t>，累计节约资金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/>
        </w:rPr>
        <w:t>937.89万元。</w:t>
      </w:r>
    </w:p>
    <w:p w14:paraId="2C5CB3C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cs="仿宋_GB2312"/>
          <w:kern w:val="2"/>
          <w:sz w:val="32"/>
          <w:szCs w:val="32"/>
        </w:rPr>
        <w:t>排查闲置用房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/>
        </w:rPr>
        <w:t>410.48</w:t>
      </w:r>
      <w:r>
        <w:rPr>
          <w:rFonts w:hint="eastAsia" w:ascii="仿宋_GB2312" w:hAnsi="仿宋_GB2312" w:cs="仿宋_GB2312"/>
          <w:kern w:val="2"/>
          <w:sz w:val="32"/>
          <w:szCs w:val="32"/>
        </w:rPr>
        <w:t>平方米，列入待盘活资产，评估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/>
        </w:rPr>
        <w:t>后</w:t>
      </w:r>
      <w:r>
        <w:rPr>
          <w:rFonts w:hint="eastAsia" w:ascii="仿宋_GB2312" w:hAnsi="仿宋_GB2312" w:cs="仿宋_GB2312"/>
          <w:kern w:val="2"/>
          <w:sz w:val="32"/>
          <w:szCs w:val="32"/>
        </w:rPr>
        <w:t>公开招租盘活。</w:t>
      </w:r>
      <w:r>
        <w:rPr>
          <w:rFonts w:hint="eastAsia" w:ascii="仿宋_GB2312" w:hAnsi="仿宋_GB2312" w:cs="仿宋_GB2312"/>
          <w:b/>
          <w:bCs/>
          <w:sz w:val="32"/>
          <w:szCs w:val="32"/>
        </w:rPr>
        <w:t xml:space="preserve"> </w:t>
      </w:r>
    </w:p>
    <w:p w14:paraId="346FC2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 xml:space="preserve">    （四）认真开展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行政事业单位资产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盘点清查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工作</w:t>
      </w:r>
    </w:p>
    <w:p w14:paraId="3AC3D5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根据区委、区政府相关要求，</w:t>
      </w:r>
      <w:r>
        <w:rPr>
          <w:rFonts w:hint="eastAsia" w:ascii="仿宋" w:hAnsi="仿宋" w:eastAsia="仿宋" w:cs="仿宋"/>
          <w:sz w:val="32"/>
          <w:szCs w:val="32"/>
        </w:rPr>
        <w:t>为全面摸清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我区</w:t>
      </w:r>
      <w:r>
        <w:rPr>
          <w:rFonts w:hint="eastAsia" w:ascii="仿宋" w:hAnsi="仿宋" w:eastAsia="仿宋" w:cs="仿宋"/>
          <w:sz w:val="32"/>
          <w:szCs w:val="32"/>
        </w:rPr>
        <w:t>行政事业单位“家底”，进一步强化行政事业单位资产管理，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/>
          <w:sz w:val="32"/>
          <w:szCs w:val="30"/>
          <w:lang w:val="en-US" w:eastAsia="zh-CN"/>
        </w:rPr>
        <w:t>单位对国有资产要不定期全面的清查和盘点，切实做到账账相符、账实相符，做到不重不漏，查清资产来源、去向和管理情况，找出管理中存在的问题，堵塞了管理漏洞。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要求全区</w:t>
      </w:r>
      <w:r>
        <w:rPr>
          <w:rFonts w:hint="eastAsia" w:ascii="仿宋_GB2312" w:hAnsi="仿宋_GB2312" w:eastAsia="仿宋_GB2312"/>
          <w:sz w:val="32"/>
          <w:szCs w:val="30"/>
          <w:lang w:val="en-US" w:eastAsia="zh-CN"/>
        </w:rPr>
        <w:t>行政事业单位每年必须进行一次全面资产盘点清查（以上年度12月31日为基准日），做到账实相符，资产清查情况形成报告报区财政局。</w:t>
      </w:r>
    </w:p>
    <w:p w14:paraId="7BD488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ascii="黑体" w:hAnsi="黑体" w:eastAsia="黑体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仿宋_GB2312"/>
          <w:bCs/>
          <w:sz w:val="32"/>
          <w:szCs w:val="32"/>
        </w:rPr>
        <w:t>下一步工作措施</w:t>
      </w:r>
    </w:p>
    <w:p w14:paraId="7D95A1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近年来，在区委、区政府的坚强领导下，在人大常委会的监督指导下，我区行政事业性国有资产管理工作取得了一定成绩，但与高质量发展要求相比，还存在管理制度不够完善、资产盘活成效有待进一步提升、监督检查工作尚需进一步加强等问题。</w:t>
      </w:r>
      <w:r>
        <w:rPr>
          <w:rFonts w:hint="eastAsia" w:ascii="仿宋_GB2312" w:hAnsi="仿宋_GB2312" w:eastAsia="仿宋_GB2312" w:cs="仿宋_GB2312"/>
          <w:sz w:val="32"/>
          <w:szCs w:val="32"/>
        </w:rPr>
        <w:t>下一步我们将加强行政事业性国有资产的管理、监督，围绕保障行政事业性国有资产安全完整，提高资产使用效益，着力抓好以下工作:</w:t>
      </w:r>
    </w:p>
    <w:p w14:paraId="29B08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82" w:firstLineChars="15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）加大培训力度，不断提高业务管理水平</w:t>
      </w:r>
    </w:p>
    <w:p w14:paraId="31037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强化资产管理队伍建设，不定期举行国有资产制度和资产管理系统培训，提高全区国有资产管理人员业务能力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推动单位内部形成“谁使用谁负责，谁流失谁担责”的资产管理意识，齐抓共管，提高国有资产使用效率及管理水平。</w:t>
      </w:r>
    </w:p>
    <w:p w14:paraId="04872621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（二）提升资产盘活利用效率。</w:t>
      </w:r>
    </w:p>
    <w:p w14:paraId="5B3FDC20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eastAsia="zh-CN"/>
        </w:rPr>
        <w:t>坚持党政机关习惯过紧日子，依法依规盘活资产。坚持以</w:t>
      </w:r>
    </w:p>
    <w:p w14:paraId="29980A2B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eastAsia="zh-CN"/>
        </w:rPr>
        <w:t>存量控增量，结合存量资产使用状况，严格审核新增资产配置，将资产调剂作为优先配置方式，对能够通过调剂配置资产的，不再安排购置资金，从源头上节约财政支出；统筹利用低效闲置资产，对能够盘活使用的资产实行市场化运作，增加财政收入。</w:t>
      </w:r>
    </w:p>
    <w:p w14:paraId="18FCE0BE">
      <w:pPr>
        <w:pStyle w:val="9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健全资产监管长效机制。</w:t>
      </w:r>
    </w:p>
    <w:p w14:paraId="79716417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/>
        <w:jc w:val="both"/>
        <w:textAlignment w:val="auto"/>
        <w:rPr>
          <w:rFonts w:hint="eastAsia" w:ascii="仿宋_GB2312" w:hAnsi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完善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行政事业性国有资产监管机制，加大监督检查力度，</w:t>
      </w:r>
    </w:p>
    <w:p w14:paraId="17196715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cs="仿宋_GB2312"/>
          <w:sz w:val="32"/>
          <w:szCs w:val="32"/>
          <w:lang w:eastAsia="zh-CN"/>
        </w:rPr>
        <w:t>进一步规范管理行为，持续提升监管质效。推进预算管理一体化平台资产管理系统应用，实行资产动态化管理，确保资产数据真实准确。建立内部监督与人大、审计、财会监督相结合，事前监督与事中、事后监督相结合，日常监督与专项监督相结合的监督机制，实现对行政事业性国有资产从“入”到“出”全程运行监管。坚持问题导向，对各方监督发现的资产管理问题，举一反三抓好整改，不断提升行政事业性国有资产管理水平。</w:t>
      </w:r>
    </w:p>
    <w:p w14:paraId="466F1B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以上报告，请予审议。                            </w:t>
      </w:r>
    </w:p>
    <w:p w14:paraId="046678C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 w:tentative="0">
      <w:start w:val="2"/>
      <w:numFmt w:val="chineseCounting"/>
      <w:suff w:val="nothing"/>
      <w:lvlText w:val="（%1）"/>
      <w:lvlJc w:val="left"/>
      <w:rPr>
        <w:rFonts w:hint="eastAsia"/>
        <w:b/>
        <w:bCs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E21B7F"/>
    <w:rsid w:val="0A940EAC"/>
    <w:rsid w:val="23E21B7F"/>
    <w:rsid w:val="5AF45824"/>
    <w:rsid w:val="6D83593A"/>
    <w:rsid w:val="6E3B29A9"/>
    <w:rsid w:val="7BD2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next w:val="1"/>
    <w:qFormat/>
    <w:uiPriority w:val="0"/>
    <w:pPr>
      <w:spacing w:before="240" w:beforeLines="0" w:after="60" w:afterLines="0" w:line="312" w:lineRule="auto"/>
      <w:jc w:val="center"/>
      <w:outlineLvl w:val="1"/>
    </w:pPr>
    <w:rPr>
      <w:b/>
      <w:bCs/>
      <w:kern w:val="28"/>
      <w:sz w:val="32"/>
      <w:szCs w:val="32"/>
    </w:rPr>
  </w:style>
  <w:style w:type="paragraph" w:customStyle="1" w:styleId="6">
    <w:name w:val="无间隔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customStyle="1" w:styleId="7">
    <w:name w:val="List Paragraph1"/>
    <w:basedOn w:val="1"/>
    <w:qFormat/>
    <w:uiPriority w:val="0"/>
    <w:pPr>
      <w:widowControl w:val="0"/>
      <w:ind w:firstLine="420" w:firstLineChars="200"/>
      <w:jc w:val="both"/>
    </w:pPr>
    <w:rPr>
      <w:rFonts w:ascii="Calibri" w:hAnsi="Calibri" w:cs="Times New Roman"/>
      <w:kern w:val="2"/>
      <w:sz w:val="21"/>
      <w:szCs w:val="22"/>
    </w:rPr>
  </w:style>
  <w:style w:type="paragraph" w:customStyle="1" w:styleId="8">
    <w:name w:val="List Paragraph"/>
    <w:basedOn w:val="1"/>
    <w:qFormat/>
    <w:uiPriority w:val="0"/>
    <w:pPr>
      <w:ind w:firstLine="420" w:firstLineChars="200"/>
    </w:pPr>
  </w:style>
  <w:style w:type="paragraph" w:customStyle="1" w:styleId="9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2263</Words>
  <Characters>2582</Characters>
  <Lines>0</Lines>
  <Paragraphs>0</Paragraphs>
  <TotalTime>177</TotalTime>
  <ScaleCrop>false</ScaleCrop>
  <LinksUpToDate>false</LinksUpToDate>
  <CharactersWithSpaces>2722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2025-06-03T01:33:00Z</dcterms:created>
  <dc:creator>白若延爸爸</dc:creator>
  <cp:lastModifiedBy>月华沁雪</cp:lastModifiedBy>
  <dcterms:modified xsi:type="dcterms:W3CDTF">2025-06-04T08:45:54Z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5F615EA83359443190FBACD4DF66046F_13</vt:lpwstr>
  </property>
  <property fmtid="{D5CDD505-2E9C-101B-9397-08002B2CF9AE}" pid="4" name="KSOTemplateDocerSaveRecord">
    <vt:lpwstr>eyJoZGlkIjoiMmU0MmEyMjFiNjhkOGJlMjJlYzU0ZDZhYjQxZWM5M2UiLCJ1c2VySWQiOiI0MzI1NjQ3NTkifQ==</vt:lpwstr>
  </property>
</Properties>
</file>