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D417C2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石家庄市新华区市场监督管理局</w:t>
      </w:r>
    </w:p>
    <w:p w14:paraId="0A84ADAA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ascii="方正小标宋简体" w:hAnsi="方正小标宋简体" w:eastAsia="方正小标宋简体" w:cs="方正小标宋简体"/>
          <w:color w:val="auto"/>
          <w:spacing w:val="15"/>
          <w:kern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25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年度信息公开工作报告</w:t>
      </w:r>
    </w:p>
    <w:p w14:paraId="0D378526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5"/>
        <w:jc w:val="both"/>
        <w:textAlignment w:val="auto"/>
        <w:outlineLvl w:val="9"/>
        <w:rPr>
          <w:rFonts w:ascii="仿宋_GB2312" w:hAnsi="宋体" w:eastAsia="仿宋_GB2312" w:cs="宋体"/>
          <w:color w:val="auto"/>
          <w:spacing w:val="15"/>
          <w:kern w:val="0"/>
          <w:shd w:val="clear" w:color="auto" w:fill="FFFFFF"/>
        </w:rPr>
      </w:pPr>
    </w:p>
    <w:p w14:paraId="623990E6">
      <w:pPr>
        <w:spacing w:line="600" w:lineRule="exact"/>
        <w:ind w:firstLine="645"/>
        <w:jc w:val="both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根据</w:t>
      </w:r>
      <w:r>
        <w:rPr>
          <w:rFonts w:hint="eastAsia" w:ascii="仿宋_GB2312" w:eastAsia="仿宋_GB2312"/>
          <w:sz w:val="32"/>
          <w:szCs w:val="32"/>
        </w:rPr>
        <w:t>《中华人民共和国政府信息公开条例》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相关规定和《关于印发&lt;中华人民共和国政府信息公开工作年度报告格式&gt;的通知》（国办公开办函〔2021〕30号）要求，综合新华区市场监督管理局2025年政府信息公开情况，编制本报告。本报告涵盖2025年1月1日至2025年12月31日期间我局政府信息公开情况，包括总体情况、主动公开政府信息情况、收到和处理政府信息公开申请情况、政府信息公开行政复议和行政诉讼情况、存在的主要问题及改进情况、其他需要报告的事项等内容。如对本报告有疑问，请与新华区市场监督管理局联系（地址：和平西路639号，电话：83660026，电子邮箱：xxhhggss@163.com）。</w:t>
      </w:r>
    </w:p>
    <w:p w14:paraId="61C5D26F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5"/>
        <w:jc w:val="both"/>
        <w:textAlignment w:val="auto"/>
        <w:outlineLvl w:val="9"/>
        <w:rPr>
          <w:rFonts w:hint="eastAsia" w:ascii="黑体" w:hAnsi="黑体" w:eastAsia="黑体" w:cs="宋体"/>
          <w:color w:val="auto"/>
          <w:spacing w:val="15"/>
          <w:kern w:val="0"/>
          <w:shd w:val="clear" w:color="auto" w:fill="FFFFFF"/>
          <w:lang w:eastAsia="zh-CN"/>
        </w:rPr>
      </w:pPr>
      <w:r>
        <w:rPr>
          <w:rFonts w:hint="eastAsia" w:ascii="黑体" w:hAnsi="黑体" w:eastAsia="黑体" w:cs="宋体"/>
          <w:color w:val="auto"/>
          <w:spacing w:val="15"/>
          <w:kern w:val="0"/>
          <w:shd w:val="clear" w:color="auto" w:fill="FFFFFF"/>
        </w:rPr>
        <w:t>一、</w:t>
      </w:r>
      <w:r>
        <w:rPr>
          <w:rFonts w:hint="eastAsia" w:ascii="黑体" w:hAnsi="黑体" w:eastAsia="黑体" w:cs="宋体"/>
          <w:color w:val="auto"/>
          <w:spacing w:val="15"/>
          <w:kern w:val="0"/>
          <w:shd w:val="clear" w:color="auto" w:fill="FFFFFF"/>
          <w:lang w:eastAsia="zh-CN"/>
        </w:rPr>
        <w:t>总体情况</w:t>
      </w:r>
    </w:p>
    <w:p w14:paraId="0CE27A53">
      <w:pPr>
        <w:spacing w:line="600" w:lineRule="exact"/>
        <w:ind w:firstLine="645"/>
        <w:jc w:val="both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年度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新华区市场监督管理局坚持依法、公开、及时、便民的原则，进一步做好信息公开和政务公开工作。</w:t>
      </w:r>
      <w:r>
        <w:rPr>
          <w:rFonts w:hint="eastAsia" w:ascii="仿宋_GB2312" w:hAnsi="楷体" w:eastAsia="仿宋_GB2312"/>
          <w:b/>
          <w:sz w:val="32"/>
          <w:szCs w:val="32"/>
        </w:rPr>
        <w:t>一是</w:t>
      </w:r>
      <w:r>
        <w:rPr>
          <w:rFonts w:hint="eastAsia" w:ascii="仿宋_GB2312" w:eastAsia="仿宋_GB2312"/>
          <w:bCs/>
          <w:color w:val="000000"/>
          <w:sz w:val="32"/>
          <w:szCs w:val="32"/>
          <w:lang w:eastAsia="zh-CN"/>
        </w:rPr>
        <w:t>全面</w:t>
      </w:r>
      <w:r>
        <w:rPr>
          <w:rFonts w:hint="eastAsia" w:ascii="仿宋_GB2312" w:eastAsia="仿宋_GB2312"/>
          <w:bCs/>
          <w:color w:val="000000"/>
          <w:sz w:val="32"/>
          <w:szCs w:val="32"/>
        </w:rPr>
        <w:t>公开市场监管规则和标准，</w:t>
      </w:r>
      <w:r>
        <w:rPr>
          <w:rFonts w:hint="eastAsia" w:ascii="仿宋_GB2312" w:eastAsia="仿宋_GB2312"/>
          <w:sz w:val="32"/>
          <w:szCs w:val="32"/>
        </w:rPr>
        <w:t>及时公开“双随机、一公开”监管事项，包括监管</w:t>
      </w:r>
      <w:r>
        <w:rPr>
          <w:rFonts w:hint="eastAsia" w:ascii="仿宋_GB2312" w:eastAsia="仿宋_GB2312"/>
          <w:color w:val="000000"/>
          <w:sz w:val="32"/>
          <w:szCs w:val="32"/>
        </w:rPr>
        <w:t>清单、工作方案、抽查计划以及抽查结果。</w:t>
      </w:r>
      <w:r>
        <w:rPr>
          <w:rFonts w:hint="eastAsia" w:ascii="仿宋_GB2312" w:eastAsia="仿宋_GB2312"/>
          <w:b/>
          <w:color w:val="000000"/>
          <w:sz w:val="32"/>
          <w:szCs w:val="32"/>
        </w:rPr>
        <w:t>二是</w:t>
      </w:r>
      <w:r>
        <w:rPr>
          <w:rFonts w:hint="eastAsia" w:ascii="仿宋_GB2312" w:eastAsia="仿宋_GB2312"/>
          <w:color w:val="000000"/>
          <w:sz w:val="32"/>
          <w:szCs w:val="32"/>
        </w:rPr>
        <w:t>及时公开</w:t>
      </w:r>
      <w:r>
        <w:rPr>
          <w:rFonts w:hint="eastAsia" w:ascii="仿宋_GB2312" w:eastAsia="仿宋_GB2312"/>
          <w:sz w:val="32"/>
          <w:szCs w:val="32"/>
        </w:rPr>
        <w:t>食品药品</w:t>
      </w:r>
      <w:r>
        <w:rPr>
          <w:rFonts w:hint="eastAsia" w:ascii="仿宋_GB2312" w:eastAsia="仿宋_GB2312"/>
          <w:sz w:val="32"/>
          <w:szCs w:val="32"/>
          <w:lang w:eastAsia="zh-CN"/>
        </w:rPr>
        <w:t>领域</w:t>
      </w:r>
      <w:r>
        <w:rPr>
          <w:rFonts w:hint="eastAsia" w:ascii="仿宋_GB2312" w:eastAsia="仿宋_GB2312"/>
          <w:sz w:val="32"/>
          <w:szCs w:val="32"/>
        </w:rPr>
        <w:t>风险隐患信息和安全保障信息，及时发布重要节日、重点行业消费警示。</w:t>
      </w:r>
      <w:r>
        <w:rPr>
          <w:rFonts w:hint="eastAsia" w:ascii="仿宋_GB2312" w:hAnsi="楷体" w:eastAsia="仿宋_GB2312"/>
          <w:b/>
          <w:sz w:val="32"/>
          <w:szCs w:val="32"/>
        </w:rPr>
        <w:t>三是</w:t>
      </w:r>
      <w:r>
        <w:rPr>
          <w:rFonts w:hint="eastAsia" w:ascii="仿宋_GB2312" w:eastAsia="仿宋_GB2312"/>
          <w:sz w:val="32"/>
          <w:szCs w:val="32"/>
        </w:rPr>
        <w:t>全面落实行政执法公示制度。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将查办的行政执法案件处罚结果在作出处罚决定15日内在河北省政务服务网站或区政府网站进行了公开。</w:t>
      </w:r>
      <w:r>
        <w:rPr>
          <w:rFonts w:hint="eastAsia" w:ascii="仿宋_GB2312" w:hAnsi="仿宋" w:eastAsia="仿宋_GB2312" w:cs="宋体"/>
          <w:b/>
          <w:bCs/>
          <w:kern w:val="0"/>
          <w:sz w:val="32"/>
          <w:szCs w:val="32"/>
          <w:lang w:val="en-US" w:eastAsia="zh-CN"/>
        </w:rPr>
        <w:t>四是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val="en-US" w:eastAsia="zh-CN"/>
        </w:rPr>
        <w:t>落实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《国务院办公厅关于严格规范涉企行政检查的意见》，公开涉企行政检查信息，包括涉企行政检查事项和依据、检查标准、检查计划、检查文书。</w:t>
      </w:r>
    </w:p>
    <w:p w14:paraId="7E28C792">
      <w:pPr>
        <w:keepNext w:val="0"/>
        <w:keepLines w:val="0"/>
        <w:pageBreakBefore w:val="0"/>
        <w:widowControl w:val="0"/>
        <w:pBdr>
          <w:bottom w:val="single" w:color="FFFFFF" w:sz="8" w:space="19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黑体" w:hAnsi="黑体" w:eastAsia="黑体"/>
          <w:color w:val="auto"/>
          <w:sz w:val="32"/>
          <w:szCs w:val="32"/>
          <w:lang w:eastAsia="zh-CN"/>
        </w:rPr>
      </w:pPr>
    </w:p>
    <w:p w14:paraId="6E5B1844">
      <w:pPr>
        <w:keepNext w:val="0"/>
        <w:keepLines w:val="0"/>
        <w:pageBreakBefore w:val="0"/>
        <w:widowControl w:val="0"/>
        <w:pBdr>
          <w:bottom w:val="single" w:color="FFFFFF" w:sz="8" w:space="19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黑体" w:hAnsi="黑体" w:eastAsia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二、主动公开政府信息情况</w:t>
      </w:r>
    </w:p>
    <w:tbl>
      <w:tblPr>
        <w:tblStyle w:val="4"/>
        <w:tblW w:w="81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2097"/>
        <w:gridCol w:w="1049"/>
        <w:gridCol w:w="1881"/>
      </w:tblGrid>
      <w:tr w14:paraId="1172B8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2086E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 w14:paraId="0B2AFE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FDC9B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209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00E3A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本年制发件数</w:t>
            </w:r>
          </w:p>
        </w:tc>
        <w:tc>
          <w:tcPr>
            <w:tcW w:w="104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FDFC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本年废止件数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397A7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现行有效件数</w:t>
            </w:r>
          </w:p>
        </w:tc>
      </w:tr>
      <w:tr w14:paraId="2124AD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F4C8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20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EFD4B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0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192F9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849EA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0325C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C21A6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行政规范性文件</w:t>
            </w:r>
          </w:p>
        </w:tc>
        <w:tc>
          <w:tcPr>
            <w:tcW w:w="20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DE0EC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0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CBFDC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C5C68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09FDE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8946A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 w14:paraId="25D891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C41F6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C291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本年处理决定数量</w:t>
            </w:r>
          </w:p>
        </w:tc>
      </w:tr>
      <w:tr w14:paraId="552E86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E3404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8183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 w14:paraId="2BC2C9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1A13C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 w14:paraId="200F8D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4FE71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009AC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本年处理决定数量</w:t>
            </w:r>
          </w:p>
        </w:tc>
      </w:tr>
      <w:tr w14:paraId="05C3EB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56BDB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F8003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106</w:t>
            </w:r>
          </w:p>
        </w:tc>
      </w:tr>
      <w:tr w14:paraId="23E13D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CB87E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79409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 w14:paraId="369E66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A17A9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 w14:paraId="015334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12EA3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B5327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本年收费金额（单位：万元）</w:t>
            </w:r>
          </w:p>
        </w:tc>
      </w:tr>
      <w:tr w14:paraId="6BBCD6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7D4BF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BEA6B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　</w:t>
            </w:r>
          </w:p>
        </w:tc>
      </w:tr>
    </w:tbl>
    <w:p w14:paraId="71EB3858">
      <w:pPr>
        <w:keepNext w:val="0"/>
        <w:keepLines w:val="0"/>
        <w:pageBreakBefore w:val="0"/>
        <w:widowControl w:val="0"/>
        <w:pBdr>
          <w:bottom w:val="single" w:color="FFFFFF" w:sz="8" w:space="19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黑体" w:hAnsi="黑体" w:eastAsia="黑体"/>
          <w:color w:val="auto"/>
          <w:sz w:val="32"/>
          <w:szCs w:val="32"/>
          <w:lang w:eastAsia="zh-CN"/>
        </w:rPr>
      </w:pPr>
    </w:p>
    <w:p w14:paraId="743073BC">
      <w:pPr>
        <w:keepNext w:val="0"/>
        <w:keepLines w:val="0"/>
        <w:pageBreakBefore w:val="0"/>
        <w:widowControl w:val="0"/>
        <w:pBdr>
          <w:bottom w:val="single" w:color="FFFFFF" w:sz="8" w:space="19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黑体" w:hAnsi="黑体" w:eastAsia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三、收到和处理政府信息公开申请情况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 w14:paraId="0450589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4F533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062A4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 w14:paraId="10272F4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DAE6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4E67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FC28A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FDB90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 w14:paraId="4A356C7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44E5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1F5C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A9D90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0DB42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58B1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F97A1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A481C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2559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73EA59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BBDD0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87E1B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C085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279CB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9B972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84729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A145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7ABA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 w14:paraId="2986FB5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0F926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8320D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77CA3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2122B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F5812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8B8B1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EFC98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23011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 w14:paraId="49CF3C8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5A901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C77BC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EEA17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7D0BBC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08279B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1A2737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E65EEA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DCFC71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4B4E6A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6C22797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A9A4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A8F17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35CE6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CD4F47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05BCC8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45F332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89423A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2A7945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06E1B0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728D735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C80B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04B63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AD293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3990E3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0E0E4B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01B5AB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EFAEE2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ACDF77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250A46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55D30F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67B50C2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242E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F852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33FBD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F882AA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BD2926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C90201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E53F03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BCD4F2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718F30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452D96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32A004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F0A5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9098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71649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AD88D6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D89961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D4E78F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348AC3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906802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B44072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3EAFF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E04E46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DCB6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C628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01F1F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6DA1D4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547D40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9D502B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6CA131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210571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881AB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327A72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97B87C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F017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A93F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928C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37751C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F63F1C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CE0BFC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09E45B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7485D1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F55A5F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60F28A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F02BF8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63D1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7741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52B5B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45DA72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default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68C422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C44271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B6A25B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F61AA8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59B0E5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39BA48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6AA890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E627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944D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3B8DE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34FA1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1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EFEFC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9F535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F6EE0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BB1E2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2FDE5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DBB19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 w14:paraId="40F51C1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249B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F6F4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BB784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5E6C72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52F899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396A5B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6305C0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882C52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1C202C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385675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7965438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EF5A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E5C6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FEDBE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81F42E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FBFB17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28B21E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D73B61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BDF8D5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20AFB9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A0FC65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A44376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98FB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A852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D65DA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37A172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3DD568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ECAC94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1B00AB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8FE178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6E8FE9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6C6275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3EFD905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E8A7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FD33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11D29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1DC7FB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55AAC4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D26CCF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3E3368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A0501A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CA0A4C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2D8C07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FE7C76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05AE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61746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1B960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F2AC3A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EF7048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C9BEA7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DB6A05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FD5FCE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E1486F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089B09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B2C43C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4DFA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B185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D48A1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C8CAF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1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9BDE0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8A640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4EADC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0FDC6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4E6DA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9259D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 w14:paraId="7A67932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3CD5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32B6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FD2B5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C1CAC0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AC4BC9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407078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EABBE9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377129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C71852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78479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A2574B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32E0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9C2B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C1E99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459288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8E4EF3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A110A8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B9288A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46736E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E18675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5C0378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7EF7C7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EC21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7F45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E9C3D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8E44E4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9AA596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AA27B1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7F2426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EC669E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69710E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A0A827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491676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3" w:hRule="atLeast"/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C37A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34B1E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95BDF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74" w:type="dxa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F11869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default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AF1D11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E3420A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8E0216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CCAF55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5D2D53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F9126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6031125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3" w:hRule="atLeast"/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5357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</w:pPr>
          </w:p>
        </w:tc>
        <w:tc>
          <w:tcPr>
            <w:tcW w:w="1176" w:type="dxa"/>
            <w:vMerge w:val="continue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5878F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32E0F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74" w:type="dxa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60AA3F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1B9F2C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FA9743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2DDB3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570FDC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DA93E7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52EEAA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bdr w:val="none" w:color="auto" w:sz="0" w:space="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5944E6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3" w:hRule="atLeast"/>
          <w:jc w:val="center"/>
        </w:trPr>
        <w:tc>
          <w:tcPr>
            <w:tcW w:w="856" w:type="dxa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3C588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176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58D6A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A363D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3.其他</w:t>
            </w:r>
          </w:p>
        </w:tc>
        <w:tc>
          <w:tcPr>
            <w:tcW w:w="774" w:type="dxa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4DB1A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2C14F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D55AF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1A09C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D864B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F7143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051C2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E1DC52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97DF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F5674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9FA7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27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ab/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48202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4CC39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2CADF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FCE65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3ED89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A7A8E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 w14:paraId="490AC2C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3D27F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E3533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9BBD7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8EE39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D468E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BF1E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61ED7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815A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59E7452B">
      <w:pPr>
        <w:keepNext w:val="0"/>
        <w:keepLines w:val="0"/>
        <w:pageBreakBefore w:val="0"/>
        <w:widowControl w:val="0"/>
        <w:pBdr>
          <w:bottom w:val="single" w:color="FFFFFF" w:sz="8" w:space="19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黑体" w:hAnsi="黑体" w:eastAsia="黑体"/>
          <w:color w:val="auto"/>
          <w:sz w:val="32"/>
          <w:szCs w:val="32"/>
          <w:lang w:eastAsia="zh-CN"/>
        </w:rPr>
      </w:pPr>
    </w:p>
    <w:p w14:paraId="67CAD08B">
      <w:pPr>
        <w:keepNext w:val="0"/>
        <w:keepLines w:val="0"/>
        <w:pageBreakBefore w:val="0"/>
        <w:widowControl w:val="0"/>
        <w:pBdr>
          <w:bottom w:val="single" w:color="FFFFFF" w:sz="8" w:space="19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黑体" w:hAnsi="黑体" w:eastAsia="黑体"/>
          <w:color w:val="auto"/>
          <w:sz w:val="32"/>
          <w:szCs w:val="32"/>
          <w:lang w:eastAsia="zh-CN"/>
        </w:rPr>
      </w:pPr>
    </w:p>
    <w:p w14:paraId="617BBE39">
      <w:pPr>
        <w:keepNext w:val="0"/>
        <w:keepLines w:val="0"/>
        <w:pageBreakBefore w:val="0"/>
        <w:widowControl w:val="0"/>
        <w:pBdr>
          <w:bottom w:val="single" w:color="FFFFFF" w:sz="8" w:space="19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黑体" w:hAnsi="黑体" w:eastAsia="黑体"/>
          <w:color w:val="auto"/>
          <w:sz w:val="32"/>
          <w:szCs w:val="32"/>
          <w:lang w:eastAsia="zh-CN"/>
        </w:rPr>
      </w:pPr>
    </w:p>
    <w:p w14:paraId="4AA0D430">
      <w:pPr>
        <w:keepNext w:val="0"/>
        <w:keepLines w:val="0"/>
        <w:pageBreakBefore w:val="0"/>
        <w:widowControl w:val="0"/>
        <w:pBdr>
          <w:bottom w:val="single" w:color="FFFFFF" w:sz="8" w:space="19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黑体" w:hAnsi="黑体" w:eastAsia="黑体"/>
          <w:color w:val="auto"/>
          <w:sz w:val="32"/>
          <w:szCs w:val="32"/>
          <w:lang w:eastAsia="zh-CN"/>
        </w:rPr>
      </w:pPr>
    </w:p>
    <w:p w14:paraId="7C34E022">
      <w:pPr>
        <w:keepNext w:val="0"/>
        <w:keepLines w:val="0"/>
        <w:pageBreakBefore w:val="0"/>
        <w:widowControl w:val="0"/>
        <w:pBdr>
          <w:bottom w:val="single" w:color="FFFFFF" w:sz="8" w:space="19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黑体" w:hAnsi="黑体" w:eastAsia="黑体"/>
          <w:color w:val="auto"/>
          <w:sz w:val="32"/>
          <w:szCs w:val="32"/>
          <w:lang w:eastAsia="zh-CN"/>
        </w:rPr>
      </w:pPr>
    </w:p>
    <w:p w14:paraId="5B6D3029">
      <w:pPr>
        <w:keepNext w:val="0"/>
        <w:keepLines w:val="0"/>
        <w:pageBreakBefore w:val="0"/>
        <w:widowControl w:val="0"/>
        <w:pBdr>
          <w:bottom w:val="single" w:color="FFFFFF" w:sz="8" w:space="19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黑体" w:hAnsi="黑体" w:eastAsia="黑体"/>
          <w:color w:val="auto"/>
          <w:sz w:val="32"/>
          <w:szCs w:val="32"/>
          <w:lang w:eastAsia="zh-CN"/>
        </w:rPr>
      </w:pPr>
    </w:p>
    <w:p w14:paraId="22F8EAD5">
      <w:pPr>
        <w:keepNext w:val="0"/>
        <w:keepLines w:val="0"/>
        <w:pageBreakBefore w:val="0"/>
        <w:widowControl w:val="0"/>
        <w:pBdr>
          <w:bottom w:val="single" w:color="FFFFFF" w:sz="8" w:space="19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黑体" w:hAnsi="黑体" w:eastAsia="黑体"/>
          <w:color w:val="auto"/>
          <w:sz w:val="32"/>
          <w:szCs w:val="32"/>
          <w:lang w:eastAsia="zh-CN"/>
        </w:rPr>
      </w:pPr>
    </w:p>
    <w:p w14:paraId="5C9F811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420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lang w:eastAsia="zh-CN"/>
        </w:rPr>
        <w:t>四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</w:rPr>
        <w:t>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0D30455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E2576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A36D2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 w14:paraId="4B7CD35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3AA98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EFFEC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301BF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38EED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16BD2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A248D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A845C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 w14:paraId="3CE911F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AEB0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F52B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587A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DD2E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8616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C63E9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631FE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236E1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311C0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77129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E8E4C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AAD69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CD8BC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F7603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AF052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 w14:paraId="104A5FB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EDA6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5D5CD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DEDC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8C02D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A5072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93956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AB944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F5201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C63EB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36F3F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66F8D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5DC2F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63417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0C0AE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664B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5CFE13EA">
      <w:pPr>
        <w:keepNext w:val="0"/>
        <w:keepLines w:val="0"/>
        <w:pageBreakBefore w:val="0"/>
        <w:widowControl w:val="0"/>
        <w:pBdr>
          <w:bottom w:val="single" w:color="FFFFFF" w:sz="8" w:space="19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黑体" w:hAnsi="黑体" w:eastAsia="黑体"/>
          <w:color w:val="auto"/>
          <w:sz w:val="32"/>
          <w:szCs w:val="32"/>
          <w:lang w:eastAsia="zh-CN"/>
        </w:rPr>
      </w:pPr>
    </w:p>
    <w:p w14:paraId="55B86F44">
      <w:pPr>
        <w:keepNext w:val="0"/>
        <w:keepLines w:val="0"/>
        <w:pageBreakBefore w:val="0"/>
        <w:widowControl w:val="0"/>
        <w:pBdr>
          <w:bottom w:val="single" w:color="FFFFFF" w:sz="8" w:space="19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五</w:t>
      </w:r>
      <w:r>
        <w:rPr>
          <w:rFonts w:hint="eastAsia" w:ascii="黑体" w:hAnsi="黑体" w:eastAsia="黑体"/>
          <w:color w:val="auto"/>
          <w:sz w:val="32"/>
          <w:szCs w:val="32"/>
        </w:rPr>
        <w:t>、存在的主要问题及改进情况</w:t>
      </w:r>
    </w:p>
    <w:p w14:paraId="3A20973D">
      <w:pPr>
        <w:pStyle w:val="3"/>
        <w:spacing w:before="0" w:beforeAutospacing="0" w:after="0" w:afterAutospacing="0" w:line="600" w:lineRule="exact"/>
        <w:ind w:firstLine="640" w:firstLineChars="200"/>
        <w:jc w:val="both"/>
        <w:rPr>
          <w:rFonts w:ascii="仿宋_GB2312" w:hAnsi="黑体" w:eastAsia="仿宋_GB2312"/>
          <w:b/>
          <w:bCs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新华区市场监督管理局政务公开虽然做了一些工作，但也存在主动公开的意识不强和信息更新不及时等问题。下一步，将深入学习贯彻新修订的《中华人民共和国政府信息公开条例》要求，一是进一步完善相关工作制度，继续规范和完善工作流程，提升工作效率；二是进一步梳理、规范信息公开内容，加大网上公开力度；三是全面、规范做好公开资料的归集、整理、归档工作，更好地为社会公众服务。 </w:t>
      </w:r>
    </w:p>
    <w:p w14:paraId="68F896FA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8" w:space="19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  六、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其他需要报告的事项</w:t>
      </w:r>
    </w:p>
    <w:p w14:paraId="7BACD5E9">
      <w:pPr>
        <w:keepNext w:val="0"/>
        <w:keepLines w:val="0"/>
        <w:pageBreakBefore w:val="0"/>
        <w:widowControl w:val="0"/>
        <w:pBdr>
          <w:bottom w:val="single" w:color="FFFFFF" w:sz="8" w:space="19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default" w:ascii="仿宋_GB2312" w:eastAsia="仿宋_GB2312"/>
          <w:color w:val="auto"/>
          <w:sz w:val="32"/>
          <w:szCs w:val="32"/>
          <w:lang w:val="en-US"/>
        </w:rPr>
      </w:pP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 xml:space="preserve">    本年度未收取政府信息公开处理费用。</w:t>
      </w:r>
    </w:p>
    <w:p w14:paraId="2B2D9DB2">
      <w:pPr>
        <w:keepNext w:val="0"/>
        <w:keepLines w:val="0"/>
        <w:pageBreakBefore w:val="0"/>
        <w:widowControl w:val="0"/>
        <w:pBdr>
          <w:bottom w:val="single" w:color="FFFFFF" w:sz="8" w:space="19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</w:pPr>
      <w:bookmarkStart w:id="0" w:name="_GoBack"/>
      <w:bookmarkEnd w:id="0"/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A11439">
    <w:pPr>
      <w:pStyle w:val="2"/>
      <w:jc w:val="center"/>
    </w:pPr>
    <w:r>
      <w:rPr>
        <w:rFonts w:ascii="Calibri" w:hAnsi="Calibri" w:eastAsia="宋体" w:cs="仿宋_GB2312"/>
        <w:color w:val="000000"/>
        <w:kern w:val="2"/>
        <w:sz w:val="18"/>
        <w:szCs w:val="18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6BB4DB1">
                          <w:pPr>
                            <w:pStyle w:val="2"/>
                            <w:jc w:val="center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zh-CN"/>
                            </w:rPr>
                            <w:t>9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1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PoB3MscBAACY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+zKr&#10;0weoMek+YFoa3vkhZ05+QGcmPaho8xfpEIyjtuertnJIRORH69V6XWFIYGy+IA57eB4ipPfSW5KN&#10;hkYcXtGUnz5CGlPnlFzN+TttDPp5bdw/DsTMHpZ7H3vMVhr2w9T43rdn5NPj3BvqcM0pMR8cyppX&#10;ZDbibOxn4xiiPnRlh3I9CLfHhE2U3nKFEXYqjAMr7Kblyhvx+F6yHn6o7V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PoB3MscBAACYAwAADgAAAAAAAAABACAAAAAe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6BB4DB1">
                    <w:pPr>
                      <w:pStyle w:val="2"/>
                      <w:jc w:val="center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zh-CN"/>
                      </w:rPr>
                      <w:t>9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4D8BC49A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FjNmRjNzE1ZTY5NTJhOGFhNDE3NjI4MjIyNjNkYTMifQ=="/>
  </w:docVars>
  <w:rsids>
    <w:rsidRoot w:val="076B4BC0"/>
    <w:rsid w:val="0129270A"/>
    <w:rsid w:val="038C283E"/>
    <w:rsid w:val="04842AA6"/>
    <w:rsid w:val="05530625"/>
    <w:rsid w:val="05D87066"/>
    <w:rsid w:val="070B6BBA"/>
    <w:rsid w:val="075F35FC"/>
    <w:rsid w:val="076B4BC0"/>
    <w:rsid w:val="07CB243D"/>
    <w:rsid w:val="08075A19"/>
    <w:rsid w:val="08637B4C"/>
    <w:rsid w:val="09A74778"/>
    <w:rsid w:val="0A781CA8"/>
    <w:rsid w:val="0AC33A01"/>
    <w:rsid w:val="0ACA16CC"/>
    <w:rsid w:val="0B0D72FA"/>
    <w:rsid w:val="0B2977F6"/>
    <w:rsid w:val="0C41302A"/>
    <w:rsid w:val="0C931AD8"/>
    <w:rsid w:val="0D1053FE"/>
    <w:rsid w:val="0E1A7568"/>
    <w:rsid w:val="0EE55BC2"/>
    <w:rsid w:val="10BB33AB"/>
    <w:rsid w:val="121A5BF8"/>
    <w:rsid w:val="13611D40"/>
    <w:rsid w:val="147F0B94"/>
    <w:rsid w:val="148D1D22"/>
    <w:rsid w:val="157A38FB"/>
    <w:rsid w:val="161D63D1"/>
    <w:rsid w:val="16201F02"/>
    <w:rsid w:val="16243F06"/>
    <w:rsid w:val="199922D7"/>
    <w:rsid w:val="1C1A2474"/>
    <w:rsid w:val="1E746E5C"/>
    <w:rsid w:val="1E8B379E"/>
    <w:rsid w:val="1EF531D0"/>
    <w:rsid w:val="1F0B0344"/>
    <w:rsid w:val="1F622FBE"/>
    <w:rsid w:val="1FDB494C"/>
    <w:rsid w:val="20987597"/>
    <w:rsid w:val="21406067"/>
    <w:rsid w:val="21A41C3A"/>
    <w:rsid w:val="247913FC"/>
    <w:rsid w:val="248E597F"/>
    <w:rsid w:val="266876DA"/>
    <w:rsid w:val="2696719D"/>
    <w:rsid w:val="26C4027F"/>
    <w:rsid w:val="272E1463"/>
    <w:rsid w:val="2751016E"/>
    <w:rsid w:val="27AD0E06"/>
    <w:rsid w:val="29844445"/>
    <w:rsid w:val="29B85E24"/>
    <w:rsid w:val="29F96720"/>
    <w:rsid w:val="2B39341A"/>
    <w:rsid w:val="2C474F03"/>
    <w:rsid w:val="301A7D93"/>
    <w:rsid w:val="30B83100"/>
    <w:rsid w:val="30EA7F34"/>
    <w:rsid w:val="314B7160"/>
    <w:rsid w:val="332E5807"/>
    <w:rsid w:val="33A90FC2"/>
    <w:rsid w:val="33BA68FD"/>
    <w:rsid w:val="34125129"/>
    <w:rsid w:val="34B93816"/>
    <w:rsid w:val="35794EFE"/>
    <w:rsid w:val="35C46405"/>
    <w:rsid w:val="3A005663"/>
    <w:rsid w:val="3BC02EAD"/>
    <w:rsid w:val="3C0E1E78"/>
    <w:rsid w:val="3D145A6E"/>
    <w:rsid w:val="3D37175C"/>
    <w:rsid w:val="3D3C1B0E"/>
    <w:rsid w:val="3D406863"/>
    <w:rsid w:val="402D3738"/>
    <w:rsid w:val="408829FA"/>
    <w:rsid w:val="40BA692C"/>
    <w:rsid w:val="40E05D89"/>
    <w:rsid w:val="411A7D9A"/>
    <w:rsid w:val="42AD7CF5"/>
    <w:rsid w:val="42D2510D"/>
    <w:rsid w:val="440C56F0"/>
    <w:rsid w:val="45923A15"/>
    <w:rsid w:val="461572D1"/>
    <w:rsid w:val="46BC6AA4"/>
    <w:rsid w:val="48DC4E6E"/>
    <w:rsid w:val="496C4B4B"/>
    <w:rsid w:val="49D60039"/>
    <w:rsid w:val="4A282753"/>
    <w:rsid w:val="4A543955"/>
    <w:rsid w:val="4B4C0A6E"/>
    <w:rsid w:val="4B685902"/>
    <w:rsid w:val="4BC70A75"/>
    <w:rsid w:val="4C61382A"/>
    <w:rsid w:val="4D542A14"/>
    <w:rsid w:val="4DB07DDC"/>
    <w:rsid w:val="4E217FEA"/>
    <w:rsid w:val="4EDE7A5E"/>
    <w:rsid w:val="4FDA7C34"/>
    <w:rsid w:val="500F070C"/>
    <w:rsid w:val="50E64316"/>
    <w:rsid w:val="50F7672A"/>
    <w:rsid w:val="51494966"/>
    <w:rsid w:val="52931C02"/>
    <w:rsid w:val="53911C60"/>
    <w:rsid w:val="53AF58C6"/>
    <w:rsid w:val="564E76A6"/>
    <w:rsid w:val="567C04B4"/>
    <w:rsid w:val="569F7C01"/>
    <w:rsid w:val="570F1328"/>
    <w:rsid w:val="5882138A"/>
    <w:rsid w:val="593C0D84"/>
    <w:rsid w:val="5A1D65A2"/>
    <w:rsid w:val="5A397061"/>
    <w:rsid w:val="5A705F4D"/>
    <w:rsid w:val="5ABF4E13"/>
    <w:rsid w:val="5B5110D5"/>
    <w:rsid w:val="5D7D2D37"/>
    <w:rsid w:val="5E39527B"/>
    <w:rsid w:val="5E654AC5"/>
    <w:rsid w:val="5E81775E"/>
    <w:rsid w:val="5E8364BE"/>
    <w:rsid w:val="5ED4060B"/>
    <w:rsid w:val="5F176316"/>
    <w:rsid w:val="5FAB3BB8"/>
    <w:rsid w:val="609162CD"/>
    <w:rsid w:val="61604EF9"/>
    <w:rsid w:val="61E6136A"/>
    <w:rsid w:val="62A82630"/>
    <w:rsid w:val="632F08B5"/>
    <w:rsid w:val="64A83777"/>
    <w:rsid w:val="65091123"/>
    <w:rsid w:val="69F003C3"/>
    <w:rsid w:val="6A026ACA"/>
    <w:rsid w:val="6A881C98"/>
    <w:rsid w:val="6EC66318"/>
    <w:rsid w:val="6F886830"/>
    <w:rsid w:val="70EB778D"/>
    <w:rsid w:val="710F044A"/>
    <w:rsid w:val="71137C32"/>
    <w:rsid w:val="71BB1EB9"/>
    <w:rsid w:val="72183814"/>
    <w:rsid w:val="72747746"/>
    <w:rsid w:val="7331104A"/>
    <w:rsid w:val="73A14126"/>
    <w:rsid w:val="74106382"/>
    <w:rsid w:val="74911176"/>
    <w:rsid w:val="74B22C2A"/>
    <w:rsid w:val="74F51705"/>
    <w:rsid w:val="751E6FBB"/>
    <w:rsid w:val="75F07A61"/>
    <w:rsid w:val="764010A6"/>
    <w:rsid w:val="78325949"/>
    <w:rsid w:val="7993773F"/>
    <w:rsid w:val="7A710147"/>
    <w:rsid w:val="7CF14EA8"/>
    <w:rsid w:val="7D23702C"/>
    <w:rsid w:val="7DB16FC5"/>
    <w:rsid w:val="7DC91CCE"/>
    <w:rsid w:val="7E1D2993"/>
    <w:rsid w:val="DDDED5C6"/>
    <w:rsid w:val="E7D5C9DF"/>
    <w:rsid w:val="EF635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仿宋_GB2312"/>
      <w:color w:val="000000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仿宋_GB2312"/>
      <w:color w:val="000000"/>
      <w:kern w:val="2"/>
      <w:sz w:val="18"/>
      <w:szCs w:val="18"/>
    </w:rPr>
  </w:style>
  <w:style w:type="paragraph" w:styleId="3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601</Words>
  <Characters>611</Characters>
  <Lines>1</Lines>
  <Paragraphs>1</Paragraphs>
  <TotalTime>5</TotalTime>
  <ScaleCrop>false</ScaleCrop>
  <LinksUpToDate>false</LinksUpToDate>
  <CharactersWithSpaces>617</CharactersWithSpaces>
  <Application>WPS Office_12.8.2.1115_F1E327BC-269C-435d-A152-05C5408002CA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2021-01-09T14:43:00Z</dcterms:created>
  <dc:creator>lenovo</dc:creator>
  <cp:lastModifiedBy>greatwall</cp:lastModifiedBy>
  <cp:lastPrinted>2022-01-25T08:08:00Z</cp:lastPrinted>
  <dcterms:modified xsi:type="dcterms:W3CDTF">2026-01-19T15:51:33Z</dcterms:modified>
  <dc:title>石家庄市新华区人民政府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2052-12.8.2.1115</vt:lpwstr>
  </property>
  <property fmtid="{D5CDD505-2E9C-101B-9397-08002B2CF9AE}" pid="3" name="ICV">
    <vt:lpwstr>D36452540B9342EB95CA4EDBDBF7E5B0</vt:lpwstr>
  </property>
  <property fmtid="{D5CDD505-2E9C-101B-9397-08002B2CF9AE}" pid="4" name="KSOTemplateDocerSaveRecord">
    <vt:lpwstr>eyJoZGlkIjoiMWQyNGNlNWVhMWEyMDg5NjlhZDQ1ODk3Njg5MjQwMWYiLCJ1c2VySWQiOiIzMzUwOTQ5MTMifQ==</vt:lpwstr>
  </property>
</Properties>
</file>