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41419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石家庄市新华区财政局</w:t>
      </w:r>
    </w:p>
    <w:p w14:paraId="7E8CD93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2025年政府信息公开工作年度报告</w:t>
      </w:r>
    </w:p>
    <w:p w14:paraId="5AA287A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lang w:val="en-US" w:eastAsia="zh-CN"/>
        </w:rPr>
      </w:pPr>
    </w:p>
    <w:p w14:paraId="36BA5E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报告依据《中华人民共和国政府信息公开条例》和《关于印发&lt;中华人民共和国政府信息公开工作年度报告格式&gt;的通知》(国办公开办函(2021)30号)要求，由石家庄市新华区财政局编制而成。全文包括总体情况、主动公开政府信息情况、收到和处理政府信息公开申请情况、政府信息公开行政复议和行政诉讼情况、存在的主要问题及改进情况、其他需要报告的事项等。本报告中所列数据的统计期限自2025年1月1日至2025年12月31日。如对本报告有疑问，请与石家庄市新华区财政局联系(地址：石家庄市水源街58号，电话：0311-86952208，电子邮箱：xhqczxx@126.com)。</w:t>
      </w:r>
    </w:p>
    <w:p w14:paraId="0D896B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一、总体情况</w:t>
      </w:r>
    </w:p>
    <w:p w14:paraId="54B7969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我局在区委、区政府的坚强领导和精心指导下，全面贯彻《中华人民共和国政府信息公开条例》，认真落实区委、区政府关于全面推进政务公开工作决策部署。牢固树立新发展理念，紧紧围绕推动经济高质量发展、建立现代化经济体系，深化财政体制改革，深入推进预决算信息、债务信息等重点领域信息公开，进一步扩展公开范围和内容，推动财政工作和政府信息公开工作再上台阶。</w:t>
      </w:r>
    </w:p>
    <w:p w14:paraId="2905FCD8">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主动公开情况</w:t>
      </w:r>
    </w:p>
    <w:p w14:paraId="27CB482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2025年，我局主动公开了与财政有关的政策法规、规范性文件、机构设置、行政权力运行、行政执法、财政预决算等相关信息</w:t>
      </w:r>
      <w:r>
        <w:rPr>
          <w:rFonts w:hint="eastAsia" w:ascii="仿宋" w:hAnsi="仿宋" w:eastAsia="仿宋" w:cs="仿宋"/>
          <w:color w:val="auto"/>
          <w:sz w:val="32"/>
          <w:szCs w:val="32"/>
          <w:highlight w:val="none"/>
          <w:lang w:val="en-US" w:eastAsia="zh-CN"/>
        </w:rPr>
        <w:t>149</w:t>
      </w:r>
      <w:r>
        <w:rPr>
          <w:rFonts w:hint="eastAsia" w:ascii="仿宋" w:hAnsi="仿宋" w:eastAsia="仿宋" w:cs="仿宋"/>
          <w:color w:val="auto"/>
          <w:sz w:val="32"/>
          <w:szCs w:val="32"/>
          <w:lang w:val="en-US" w:eastAsia="zh-CN"/>
        </w:rPr>
        <w:t>条</w:t>
      </w:r>
      <w:r>
        <w:rPr>
          <w:rFonts w:hint="eastAsia" w:ascii="仿宋" w:hAnsi="仿宋" w:eastAsia="仿宋" w:cs="仿宋"/>
          <w:sz w:val="32"/>
          <w:szCs w:val="32"/>
          <w:lang w:val="en-US" w:eastAsia="zh-CN"/>
        </w:rPr>
        <w:t>。</w:t>
      </w:r>
    </w:p>
    <w:p w14:paraId="2D64F414">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依申请公开情况</w:t>
      </w:r>
    </w:p>
    <w:p w14:paraId="3A058A9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2025年我局未收到政务信息公开申请，未发生因政府信息公开工作被申请行政复议、提起行政诉讼的情况。</w:t>
      </w:r>
    </w:p>
    <w:p w14:paraId="3827A3A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推动重点领域信息公开</w:t>
      </w:r>
    </w:p>
    <w:p w14:paraId="42BD0CD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全面推动预决算信息公开。根据《预算法》的要求，进一步推动全面公开财政预决算信息。我局在2025年人大批复预算后20日内在区政府门户网站财政预决算公开版块向社会公开了2025年政府预算，包括一般公共预算、政府性基金预算、国有资本经营预算、社会保险基金预算等“四本预算”全口径公开。2024年度区本级财政决算报告及各预算部门决算也在区政府门户网站财政预决算公开版块向社会公开。</w:t>
      </w:r>
    </w:p>
    <w:p w14:paraId="286E363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细化财政管理信息公开。年初随部门预算公开了各预算部门的绩效目标文本，年中随部门决算一同公布上一年度预算绩效管理工作开展情况及绩效自评价、绩效重点评价情况。同步公开区本级“三公”经费信息，并要求各部门对“三公”经费增减变化原因等重要事项作出说明。</w:t>
      </w:r>
    </w:p>
    <w:p w14:paraId="6AF021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3.深化政府采购信息公开。根据上级要求，所有项目采购公告、采购结果、采购合同等信息，均在河北省政府采购网对外公开。</w:t>
      </w:r>
    </w:p>
    <w:p w14:paraId="15ACB6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做好政府债券存续期信息公开工作：根据省财政厅《关于做好2025年政府债券存续期信息公开工作的通知》要求，我局认真组织开展本地区政府债券存续期信息公开工作，督导使用政府债券资金的部门按规定公开政府债券资金使用和管理情况。</w:t>
      </w:r>
    </w:p>
    <w:p w14:paraId="61FAE6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（四）进一步提升工作规范与公开质量。</w:t>
      </w:r>
    </w:p>
    <w:p w14:paraId="7EC537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1.强化组织领导。进一步完善信息公开工作流程，建立一把手全面领导，综合管理科主抓，局机关各科室具体项目负责的运行机制，推进我局政府信息公开工作制度化、规范化和科学化。</w:t>
      </w:r>
    </w:p>
    <w:p w14:paraId="481C38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2.强化风险审核。制定新华区财政局政府信息公开审批制度，对需公开信息的合理、合规、合法性进行层层审批，所有</w:t>
      </w:r>
      <w:bookmarkStart w:id="0" w:name="_GoBack"/>
      <w:bookmarkEnd w:id="0"/>
      <w:r>
        <w:rPr>
          <w:rFonts w:hint="eastAsia" w:ascii="仿宋" w:hAnsi="仿宋" w:eastAsia="仿宋" w:cs="仿宋"/>
          <w:sz w:val="32"/>
          <w:szCs w:val="32"/>
          <w:lang w:val="en-US" w:eastAsia="zh-CN"/>
        </w:rPr>
        <w:t>网站发布文图，未经局领导审定，不得对外公开。</w:t>
      </w:r>
    </w:p>
    <w:p w14:paraId="5ED5ED26">
      <w:pPr>
        <w:keepNext w:val="0"/>
        <w:keepLines w:val="0"/>
        <w:pageBreakBefore w:val="0"/>
        <w:widowControl w:val="0"/>
        <w:pBdr>
          <w:bottom w:val="single" w:color="FFFFFF" w:sz="8" w:space="19"/>
        </w:pBdr>
        <w:shd w:val="clear" w:color="auto" w:fill="FFFFFF"/>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olor w:val="auto"/>
          <w:sz w:val="32"/>
          <w:szCs w:val="32"/>
          <w:lang w:eastAsia="zh-CN"/>
        </w:rPr>
      </w:pPr>
      <w:r>
        <w:rPr>
          <w:rFonts w:hint="eastAsia" w:ascii="黑体" w:hAnsi="黑体" w:eastAsia="黑体"/>
          <w:color w:val="auto"/>
          <w:sz w:val="32"/>
          <w:szCs w:val="32"/>
          <w:lang w:eastAsia="zh-CN"/>
        </w:rPr>
        <w:t>二、主动公开政府信息情况</w:t>
      </w:r>
    </w:p>
    <w:tbl>
      <w:tblPr>
        <w:tblStyle w:val="2"/>
        <w:tblW w:w="81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3113"/>
        <w:gridCol w:w="1622"/>
        <w:gridCol w:w="1680"/>
        <w:gridCol w:w="1725"/>
      </w:tblGrid>
      <w:tr w14:paraId="54371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14:paraId="41CA27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第二十条第（一）项</w:t>
            </w:r>
          </w:p>
        </w:tc>
      </w:tr>
      <w:tr w14:paraId="22A2C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FAE5E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信息内容</w:t>
            </w:r>
          </w:p>
        </w:tc>
        <w:tc>
          <w:tcPr>
            <w:tcW w:w="162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42F29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2"/>
                <w:szCs w:val="22"/>
              </w:rPr>
            </w:pPr>
            <w:r>
              <w:rPr>
                <w:rFonts w:hint="eastAsia" w:ascii="仿宋" w:hAnsi="仿宋" w:eastAsia="仿宋" w:cs="仿宋"/>
                <w:color w:val="auto"/>
                <w:kern w:val="0"/>
                <w:sz w:val="22"/>
                <w:szCs w:val="22"/>
                <w:lang w:val="en-US" w:eastAsia="zh-CN"/>
              </w:rPr>
              <w:t>本年制发件数</w:t>
            </w:r>
          </w:p>
        </w:tc>
        <w:tc>
          <w:tcPr>
            <w:tcW w:w="1680"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9BAA3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2"/>
                <w:szCs w:val="22"/>
              </w:rPr>
            </w:pPr>
            <w:r>
              <w:rPr>
                <w:rFonts w:hint="eastAsia" w:ascii="仿宋" w:hAnsi="仿宋" w:eastAsia="仿宋" w:cs="仿宋"/>
                <w:color w:val="auto"/>
                <w:kern w:val="0"/>
                <w:sz w:val="22"/>
                <w:szCs w:val="22"/>
                <w:lang w:val="en-US" w:eastAsia="zh-CN"/>
              </w:rPr>
              <w:t>本年废止件数</w:t>
            </w:r>
          </w:p>
        </w:tc>
        <w:tc>
          <w:tcPr>
            <w:tcW w:w="172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FE3C1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现行有效件数</w:t>
            </w:r>
          </w:p>
        </w:tc>
      </w:tr>
      <w:tr w14:paraId="46036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69AB7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规章</w:t>
            </w:r>
          </w:p>
        </w:tc>
        <w:tc>
          <w:tcPr>
            <w:tcW w:w="162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D56593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w:t>
            </w:r>
          </w:p>
        </w:tc>
        <w:tc>
          <w:tcPr>
            <w:tcW w:w="1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42C58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w:t>
            </w:r>
          </w:p>
        </w:tc>
        <w:tc>
          <w:tcPr>
            <w:tcW w:w="172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31F16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w:t>
            </w:r>
          </w:p>
        </w:tc>
      </w:tr>
      <w:tr w14:paraId="69514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182DC1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行政规范性文件</w:t>
            </w:r>
          </w:p>
        </w:tc>
        <w:tc>
          <w:tcPr>
            <w:tcW w:w="162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B0BC4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w:t>
            </w:r>
          </w:p>
        </w:tc>
        <w:tc>
          <w:tcPr>
            <w:tcW w:w="1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C48FA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w:t>
            </w:r>
          </w:p>
        </w:tc>
        <w:tc>
          <w:tcPr>
            <w:tcW w:w="172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EB7D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w:t>
            </w:r>
          </w:p>
        </w:tc>
      </w:tr>
      <w:tr w14:paraId="5FC32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14:paraId="3E93C8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第二十条第（五）项</w:t>
            </w:r>
          </w:p>
        </w:tc>
      </w:tr>
      <w:tr w14:paraId="0F7D2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42527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信息内容</w:t>
            </w:r>
          </w:p>
        </w:tc>
        <w:tc>
          <w:tcPr>
            <w:tcW w:w="5027" w:type="dxa"/>
            <w:gridSpan w:val="3"/>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75DD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本年处理决定数量</w:t>
            </w:r>
          </w:p>
        </w:tc>
      </w:tr>
      <w:tr w14:paraId="2FD90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90534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行政许可</w:t>
            </w:r>
          </w:p>
        </w:tc>
        <w:tc>
          <w:tcPr>
            <w:tcW w:w="5027"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7B04C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14:paraId="44A1A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14:paraId="0D00AF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第二十条第（六）项</w:t>
            </w:r>
          </w:p>
        </w:tc>
      </w:tr>
      <w:tr w14:paraId="05572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11C28E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信息内容</w:t>
            </w:r>
          </w:p>
        </w:tc>
        <w:tc>
          <w:tcPr>
            <w:tcW w:w="5027" w:type="dxa"/>
            <w:gridSpan w:val="3"/>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1968F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本年处理决定数量</w:t>
            </w:r>
          </w:p>
        </w:tc>
      </w:tr>
      <w:tr w14:paraId="4D2A3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DE192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行政处罚</w:t>
            </w:r>
          </w:p>
        </w:tc>
        <w:tc>
          <w:tcPr>
            <w:tcW w:w="5027"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A9C2BB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14:paraId="2CBA2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4D3FB7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行政强制</w:t>
            </w:r>
          </w:p>
        </w:tc>
        <w:tc>
          <w:tcPr>
            <w:tcW w:w="5027"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281F3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14:paraId="6D821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14:paraId="2A9361B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第二十条第（八）项</w:t>
            </w:r>
          </w:p>
        </w:tc>
      </w:tr>
      <w:tr w14:paraId="5AC52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E57F7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信息内容</w:t>
            </w:r>
          </w:p>
        </w:tc>
        <w:tc>
          <w:tcPr>
            <w:tcW w:w="5027" w:type="dxa"/>
            <w:gridSpan w:val="3"/>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14:paraId="6A4402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本年收费金额（单位：万元）</w:t>
            </w:r>
          </w:p>
        </w:tc>
      </w:tr>
      <w:tr w14:paraId="726AB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B8F918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行政事业性收费</w:t>
            </w:r>
          </w:p>
        </w:tc>
        <w:tc>
          <w:tcPr>
            <w:tcW w:w="5027" w:type="dxa"/>
            <w:gridSpan w:val="3"/>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14:paraId="539787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3074</w:t>
            </w:r>
          </w:p>
        </w:tc>
      </w:tr>
    </w:tbl>
    <w:p w14:paraId="4E28A3EF">
      <w:pPr>
        <w:keepNext w:val="0"/>
        <w:keepLines w:val="0"/>
        <w:pageBreakBefore w:val="0"/>
        <w:widowControl w:val="0"/>
        <w:pBdr>
          <w:bottom w:val="single" w:color="FFFFFF" w:sz="8" w:space="19"/>
        </w:pBdr>
        <w:shd w:val="clear" w:color="auto" w:fill="FFFFFF"/>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黑体" w:hAnsi="黑体" w:eastAsia="黑体"/>
          <w:color w:val="auto"/>
          <w:sz w:val="32"/>
          <w:szCs w:val="32"/>
          <w:lang w:eastAsia="zh-CN"/>
        </w:rPr>
      </w:pPr>
    </w:p>
    <w:p w14:paraId="0CB6E475">
      <w:pPr>
        <w:keepNext w:val="0"/>
        <w:keepLines w:val="0"/>
        <w:pageBreakBefore w:val="0"/>
        <w:widowControl w:val="0"/>
        <w:pBdr>
          <w:bottom w:val="single" w:color="FFFFFF" w:sz="8" w:space="19"/>
        </w:pBdr>
        <w:shd w:val="clear" w:color="auto" w:fill="FFFFFF"/>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黑体" w:hAnsi="黑体" w:eastAsia="黑体"/>
          <w:color w:val="auto"/>
          <w:sz w:val="32"/>
          <w:szCs w:val="32"/>
          <w:lang w:eastAsia="zh-CN"/>
        </w:rPr>
      </w:pPr>
    </w:p>
    <w:p w14:paraId="08E8DF92">
      <w:pPr>
        <w:keepNext w:val="0"/>
        <w:keepLines w:val="0"/>
        <w:pageBreakBefore w:val="0"/>
        <w:widowControl w:val="0"/>
        <w:pBdr>
          <w:bottom w:val="single" w:color="FFFFFF" w:sz="8" w:space="19"/>
        </w:pBdr>
        <w:shd w:val="clear" w:color="auto" w:fill="FFFFFF"/>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黑体" w:hAnsi="黑体" w:eastAsia="黑体"/>
          <w:color w:val="auto"/>
          <w:sz w:val="32"/>
          <w:szCs w:val="32"/>
          <w:lang w:eastAsia="zh-CN"/>
        </w:rPr>
      </w:pPr>
      <w:r>
        <w:rPr>
          <w:rFonts w:hint="eastAsia" w:ascii="黑体" w:hAnsi="黑体" w:eastAsia="黑体"/>
          <w:color w:val="auto"/>
          <w:sz w:val="32"/>
          <w:szCs w:val="32"/>
          <w:lang w:eastAsia="zh-CN"/>
        </w:rPr>
        <w:t>三、收到和处理政府信息公开申请情况</w:t>
      </w:r>
    </w:p>
    <w:tbl>
      <w:tblPr>
        <w:tblStyle w:val="2"/>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14:paraId="76A475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C23B84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BB76D1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申请人情况</w:t>
            </w:r>
          </w:p>
        </w:tc>
      </w:tr>
      <w:tr w14:paraId="389250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46673890">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77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F12D5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自然人</w:t>
            </w:r>
          </w:p>
        </w:tc>
        <w:tc>
          <w:tcPr>
            <w:tcW w:w="3818"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4A369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BE0F98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总计</w:t>
            </w:r>
          </w:p>
        </w:tc>
      </w:tr>
      <w:tr w14:paraId="16EFCE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06F28D9">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77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A156BE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B313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商业企业</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AB98B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科研机构</w:t>
            </w:r>
          </w:p>
        </w:tc>
        <w:tc>
          <w:tcPr>
            <w:tcW w:w="774"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D1B7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社会公益组织</w:t>
            </w:r>
          </w:p>
        </w:tc>
        <w:tc>
          <w:tcPr>
            <w:tcW w:w="909"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4C84A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法律服务机构</w:t>
            </w:r>
          </w:p>
        </w:tc>
        <w:tc>
          <w:tcPr>
            <w:tcW w:w="68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916CD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D63AC98">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r>
      <w:tr w14:paraId="6AEEAA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DB0EAD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一、本年新收政府信息公开申请数量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2C750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78D9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0273A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9806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E0DBA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8FAF4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41D3B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0 </w:t>
            </w:r>
          </w:p>
        </w:tc>
      </w:tr>
      <w:tr w14:paraId="1222404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F8D02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二、上年结转政府信息公开申请数量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57C08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D0F69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F11B6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6A2B1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5D9CE6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99C87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0486F1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0 </w:t>
            </w:r>
          </w:p>
        </w:tc>
      </w:tr>
      <w:tr w14:paraId="26069F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6EE81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三、本年度办理结果</w:t>
            </w: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8C555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（一）予以公开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E84A2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B6404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D69E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4CE03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30697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05B9FC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8CE1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0"/>
                <w:sz w:val="24"/>
                <w:szCs w:val="24"/>
                <w:lang w:val="en-US" w:eastAsia="zh-CN"/>
              </w:rPr>
              <w:t>0 </w:t>
            </w:r>
          </w:p>
        </w:tc>
      </w:tr>
      <w:tr w14:paraId="6C04B4A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9DF0F04">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8BE9C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74A173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B38DD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5C3D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21840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8E1F41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66B8F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0FDBD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15379D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AF1A676">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B7623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（三）不予公开</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84295F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1.属于国家秘密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16D80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01246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45FD9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23825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A988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94037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5F3E1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376392C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81E406E">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0D3E66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5CF92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2.其他法律行政法规禁止公开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CCBD3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05FD8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B437EE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6B0C1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EC675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7A3D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7C081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050035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50BAB36">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7CA2069">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2D127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3.危及“三安全一稳定”</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FEDB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1BE0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5973A9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6CA5A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B5790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9B4ADD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F3727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7E6808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CF62D5C">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6454862">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EA13C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4.保护第三方合法权益</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8758E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4361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2AE2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23B8E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53DCC4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AF615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E8299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0322CD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30F48A69">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9E89FAE">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6277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5.属于三类内部事务信息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56A8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E1F23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A6F8A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6367F1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D293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D55D4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7D840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69F966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CC42ADC">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91A831">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8B83C1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6.属于四类过程性信息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F49A8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E97B8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7CCD0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9AB76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8B3E7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73CD0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B773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1FF129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58E7138">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0D67856">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3B88F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7.属于行政执法案卷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5B6CBE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FCFAD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A694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91F7F7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045B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939D14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2145A8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2F60D0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4F25CA9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2C24F77">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9D8A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8.属于行政查询事项</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37805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A778A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0F5223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C0F67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F02100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C3C54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04D200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5FEF6E7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DF1BFD7">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3A397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（四）无法提供</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0296A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1.本机关不掌握相关政府信息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1DC5B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3233E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94DF1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4B1E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4DB0A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8C89F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EA6915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15F2E2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13274A44">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97E409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D4E62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2.没有现成信息需要另行制作</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D15F65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09B9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DA2EB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68A4D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80400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9653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8800F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451459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4AEBBB2">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F7965C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79592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3.补正后申请内容仍不明确</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125423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8CD5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9E29B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C704D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29F23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1D5F6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CC904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5E2ECC9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D51B496">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096FE2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（五）不予处理</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85A06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1.信访举报投诉类申请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7AC500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F53DE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8A6A78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2AD645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49C869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07B9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22172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7D8748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0456035">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FB65E6D">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A3B2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2.重复申请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5A64F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C0E02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71792E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29E51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39EB4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8262C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FAF31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00872B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5C24F3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A541AA6">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FBEB6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3.要求提供公开出版物</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5AB6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EFC67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4612BA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03456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F22324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3FCB1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A883C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07A53B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EBAFC67">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EA08EC">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4394D7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4.无正当理由大量反复申请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D7C2D1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462D4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F632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21890B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B4B0EC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1F720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9D7E8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35EC23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1425101">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continue"/>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225F36DF">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904"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21C0BE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5.要求行政机关确认或重新出具已获取信息</w:t>
            </w:r>
          </w:p>
        </w:tc>
        <w:tc>
          <w:tcPr>
            <w:tcW w:w="774"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300F03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278B70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4A42A4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2D0B50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4FA82A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17C43C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4" w:space="0"/>
              <w:right w:val="single" w:color="auto" w:sz="8" w:space="0"/>
            </w:tcBorders>
            <w:shd w:val="clear" w:color="auto" w:fill="E6F4FF"/>
            <w:tcMar>
              <w:top w:w="0" w:type="dxa"/>
              <w:left w:w="108" w:type="dxa"/>
              <w:bottom w:w="0" w:type="dxa"/>
              <w:right w:w="108" w:type="dxa"/>
            </w:tcMar>
            <w:vAlign w:val="center"/>
          </w:tcPr>
          <w:p w14:paraId="297F21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4C27B4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73" w:hRule="atLeast"/>
          <w:jc w:val="center"/>
        </w:trPr>
        <w:tc>
          <w:tcPr>
            <w:tcW w:w="856" w:type="dxa"/>
            <w:vMerge w:val="continue"/>
            <w:tcBorders>
              <w:top w:val="nil"/>
              <w:left w:val="single" w:color="auto" w:sz="8" w:space="0"/>
              <w:bottom w:val="single" w:color="auto" w:sz="8" w:space="0"/>
              <w:right w:val="single" w:color="auto" w:sz="4" w:space="0"/>
            </w:tcBorders>
            <w:shd w:val="clear" w:color="auto" w:fill="E6F4FF"/>
            <w:tcMar>
              <w:top w:w="0" w:type="dxa"/>
              <w:left w:w="108" w:type="dxa"/>
              <w:bottom w:w="0" w:type="dxa"/>
              <w:right w:w="108" w:type="dxa"/>
            </w:tcMar>
            <w:vAlign w:val="center"/>
          </w:tcPr>
          <w:p w14:paraId="1DC66C61">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1176"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3E1B166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（六）其他处理</w:t>
            </w:r>
          </w:p>
        </w:tc>
        <w:tc>
          <w:tcPr>
            <w:tcW w:w="1904" w:type="dxa"/>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562EA5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1.申请人无正当理由逾期不补正、行政机关不再处理其政府信息公开申请</w:t>
            </w:r>
          </w:p>
        </w:tc>
        <w:tc>
          <w:tcPr>
            <w:tcW w:w="774"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499A10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0</w:t>
            </w:r>
          </w:p>
        </w:tc>
        <w:tc>
          <w:tcPr>
            <w:tcW w:w="724"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536918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1375E03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6084AD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23987D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348456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vMerge w:val="restart"/>
            <w:tcBorders>
              <w:top w:val="single" w:color="auto" w:sz="4" w:space="0"/>
              <w:left w:val="single" w:color="auto" w:sz="4" w:space="0"/>
              <w:bottom w:val="single" w:color="auto" w:sz="4" w:space="0"/>
              <w:right w:val="single" w:color="auto" w:sz="4" w:space="0"/>
            </w:tcBorders>
            <w:shd w:val="clear" w:color="auto" w:fill="E6F4FF"/>
            <w:tcMar>
              <w:top w:w="0" w:type="dxa"/>
              <w:left w:w="108" w:type="dxa"/>
              <w:bottom w:w="0" w:type="dxa"/>
              <w:right w:w="108" w:type="dxa"/>
            </w:tcMar>
            <w:vAlign w:val="center"/>
          </w:tcPr>
          <w:p w14:paraId="2936EE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r w14:paraId="303430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73" w:hRule="atLeast"/>
          <w:jc w:val="center"/>
        </w:trPr>
        <w:tc>
          <w:tcPr>
            <w:tcW w:w="856" w:type="dxa"/>
            <w:vMerge w:val="continue"/>
            <w:tcBorders>
              <w:top w:val="nil"/>
              <w:left w:val="single" w:color="auto" w:sz="8" w:space="0"/>
              <w:bottom w:val="single" w:color="auto" w:sz="8" w:space="0"/>
              <w:right w:val="single" w:color="auto" w:sz="4" w:space="0"/>
            </w:tcBorders>
            <w:shd w:val="clear" w:color="auto" w:fill="E6F4FF"/>
            <w:tcMar>
              <w:top w:w="0" w:type="dxa"/>
              <w:left w:w="108" w:type="dxa"/>
              <w:bottom w:w="0" w:type="dxa"/>
              <w:right w:w="108" w:type="dxa"/>
            </w:tcMar>
            <w:vAlign w:val="center"/>
          </w:tcPr>
          <w:p w14:paraId="481A089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pPr>
          </w:p>
        </w:tc>
        <w:tc>
          <w:tcPr>
            <w:tcW w:w="1176" w:type="dxa"/>
            <w:vMerge w:val="continue"/>
            <w:tcBorders>
              <w:top w:val="single" w:color="auto" w:sz="4" w:space="0"/>
              <w:left w:val="single" w:color="auto" w:sz="4" w:space="0"/>
              <w:right w:val="single" w:color="auto" w:sz="8" w:space="0"/>
            </w:tcBorders>
            <w:shd w:val="clear" w:color="auto" w:fill="E6F4FF"/>
            <w:tcMar>
              <w:top w:w="0" w:type="dxa"/>
              <w:left w:w="108" w:type="dxa"/>
              <w:bottom w:w="0" w:type="dxa"/>
              <w:right w:w="108" w:type="dxa"/>
            </w:tcMar>
            <w:vAlign w:val="center"/>
          </w:tcPr>
          <w:p w14:paraId="548AE2A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pPr>
          </w:p>
        </w:tc>
        <w:tc>
          <w:tcPr>
            <w:tcW w:w="1904" w:type="dxa"/>
            <w:tcBorders>
              <w:top w:val="single" w:color="auto" w:sz="4"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B32AF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2.申请人逾期未按收费通知要求缴纳费用、行政机关不再处理其政府信息公开申请</w:t>
            </w:r>
          </w:p>
        </w:tc>
        <w:tc>
          <w:tcPr>
            <w:tcW w:w="774" w:type="dxa"/>
            <w:vMerge w:val="continue"/>
            <w:tcBorders>
              <w:top w:val="single" w:color="auto" w:sz="4" w:space="0"/>
              <w:left w:val="nil"/>
              <w:right w:val="single" w:color="auto" w:sz="8" w:space="0"/>
            </w:tcBorders>
            <w:shd w:val="clear" w:color="auto" w:fill="E6F4FF"/>
            <w:tcMar>
              <w:top w:w="0" w:type="dxa"/>
              <w:left w:w="108" w:type="dxa"/>
              <w:bottom w:w="0" w:type="dxa"/>
              <w:right w:w="108" w:type="dxa"/>
            </w:tcMar>
            <w:vAlign w:val="center"/>
          </w:tcPr>
          <w:p w14:paraId="539505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724" w:type="dxa"/>
            <w:vMerge w:val="continue"/>
            <w:tcBorders>
              <w:top w:val="single" w:color="auto" w:sz="4" w:space="0"/>
              <w:left w:val="nil"/>
              <w:right w:val="single" w:color="auto" w:sz="8" w:space="0"/>
            </w:tcBorders>
            <w:shd w:val="clear" w:color="auto" w:fill="E6F4FF"/>
            <w:tcMar>
              <w:top w:w="0" w:type="dxa"/>
              <w:left w:w="108" w:type="dxa"/>
              <w:bottom w:w="0" w:type="dxa"/>
              <w:right w:w="108" w:type="dxa"/>
            </w:tcMar>
            <w:vAlign w:val="center"/>
          </w:tcPr>
          <w:p w14:paraId="5FCA12F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724" w:type="dxa"/>
            <w:vMerge w:val="continue"/>
            <w:tcBorders>
              <w:top w:val="single" w:color="auto" w:sz="4" w:space="0"/>
              <w:left w:val="nil"/>
              <w:right w:val="single" w:color="auto" w:sz="8" w:space="0"/>
            </w:tcBorders>
            <w:shd w:val="clear" w:color="auto" w:fill="E6F4FF"/>
            <w:tcMar>
              <w:top w:w="0" w:type="dxa"/>
              <w:left w:w="108" w:type="dxa"/>
              <w:bottom w:w="0" w:type="dxa"/>
              <w:right w:w="108" w:type="dxa"/>
            </w:tcMar>
            <w:vAlign w:val="center"/>
          </w:tcPr>
          <w:p w14:paraId="4CA6AA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774" w:type="dxa"/>
            <w:vMerge w:val="continue"/>
            <w:tcBorders>
              <w:top w:val="single" w:color="auto" w:sz="4" w:space="0"/>
              <w:left w:val="nil"/>
              <w:right w:val="single" w:color="auto" w:sz="8" w:space="0"/>
            </w:tcBorders>
            <w:shd w:val="clear" w:color="auto" w:fill="E6F4FF"/>
            <w:tcMar>
              <w:top w:w="0" w:type="dxa"/>
              <w:left w:w="108" w:type="dxa"/>
              <w:bottom w:w="0" w:type="dxa"/>
              <w:right w:w="108" w:type="dxa"/>
            </w:tcMar>
            <w:vAlign w:val="center"/>
          </w:tcPr>
          <w:p w14:paraId="5CEAFA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909" w:type="dxa"/>
            <w:vMerge w:val="continue"/>
            <w:tcBorders>
              <w:top w:val="single" w:color="auto" w:sz="4" w:space="0"/>
              <w:left w:val="nil"/>
              <w:right w:val="single" w:color="auto" w:sz="8" w:space="0"/>
            </w:tcBorders>
            <w:shd w:val="clear" w:color="auto" w:fill="E6F4FF"/>
            <w:tcMar>
              <w:top w:w="0" w:type="dxa"/>
              <w:left w:w="108" w:type="dxa"/>
              <w:bottom w:w="0" w:type="dxa"/>
              <w:right w:w="108" w:type="dxa"/>
            </w:tcMar>
            <w:vAlign w:val="center"/>
          </w:tcPr>
          <w:p w14:paraId="518263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687" w:type="dxa"/>
            <w:vMerge w:val="continue"/>
            <w:tcBorders>
              <w:top w:val="single" w:color="auto" w:sz="4" w:space="0"/>
              <w:left w:val="nil"/>
              <w:right w:val="single" w:color="auto" w:sz="8" w:space="0"/>
            </w:tcBorders>
            <w:shd w:val="clear" w:color="auto" w:fill="E6F4FF"/>
            <w:tcMar>
              <w:top w:w="0" w:type="dxa"/>
              <w:left w:w="108" w:type="dxa"/>
              <w:bottom w:w="0" w:type="dxa"/>
              <w:right w:w="108" w:type="dxa"/>
            </w:tcMar>
            <w:vAlign w:val="center"/>
          </w:tcPr>
          <w:p w14:paraId="141627F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543" w:type="dxa"/>
            <w:vMerge w:val="continue"/>
            <w:tcBorders>
              <w:top w:val="single" w:color="auto" w:sz="4" w:space="0"/>
              <w:left w:val="nil"/>
              <w:right w:val="single" w:color="auto" w:sz="4" w:space="0"/>
            </w:tcBorders>
            <w:shd w:val="clear" w:color="auto" w:fill="E6F4FF"/>
            <w:tcMar>
              <w:top w:w="0" w:type="dxa"/>
              <w:left w:w="108" w:type="dxa"/>
              <w:bottom w:w="0" w:type="dxa"/>
              <w:right w:w="108" w:type="dxa"/>
            </w:tcMar>
            <w:vAlign w:val="center"/>
          </w:tcPr>
          <w:p w14:paraId="45F43A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r>
      <w:tr w14:paraId="3B63447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73" w:hRule="atLeast"/>
          <w:jc w:val="center"/>
        </w:trPr>
        <w:tc>
          <w:tcPr>
            <w:tcW w:w="856" w:type="dxa"/>
            <w:vMerge w:val="continue"/>
            <w:tcBorders>
              <w:left w:val="single" w:color="auto" w:sz="8" w:space="0"/>
              <w:bottom w:val="single" w:color="auto" w:sz="8" w:space="0"/>
              <w:right w:val="single" w:color="auto" w:sz="4" w:space="0"/>
            </w:tcBorders>
            <w:shd w:val="clear" w:color="auto" w:fill="E6F4FF"/>
            <w:tcMar>
              <w:top w:w="0" w:type="dxa"/>
              <w:left w:w="108" w:type="dxa"/>
              <w:bottom w:w="0" w:type="dxa"/>
              <w:right w:w="108" w:type="dxa"/>
            </w:tcMar>
            <w:vAlign w:val="center"/>
          </w:tcPr>
          <w:p w14:paraId="3B86AC0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1176" w:type="dxa"/>
            <w:vMerge w:val="continue"/>
            <w:tcBorders>
              <w:left w:val="single" w:color="auto" w:sz="4" w:space="0"/>
              <w:bottom w:val="single" w:color="auto" w:sz="8" w:space="0"/>
              <w:right w:val="single" w:color="auto" w:sz="8" w:space="0"/>
            </w:tcBorders>
            <w:shd w:val="clear" w:color="auto" w:fill="E6F4FF"/>
            <w:tcMar>
              <w:top w:w="0" w:type="dxa"/>
              <w:left w:w="108" w:type="dxa"/>
              <w:bottom w:w="0" w:type="dxa"/>
              <w:right w:w="108" w:type="dxa"/>
            </w:tcMar>
            <w:vAlign w:val="center"/>
          </w:tcPr>
          <w:p w14:paraId="54566A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2EF0F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3.其他</w:t>
            </w:r>
          </w:p>
        </w:tc>
        <w:tc>
          <w:tcPr>
            <w:tcW w:w="774" w:type="dxa"/>
            <w:vMerge w:val="continue"/>
            <w:tcBorders>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97C40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724" w:type="dxa"/>
            <w:vMerge w:val="continue"/>
            <w:tcBorders>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89F2EC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724" w:type="dxa"/>
            <w:vMerge w:val="continue"/>
            <w:tcBorders>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ABDA9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774" w:type="dxa"/>
            <w:vMerge w:val="continue"/>
            <w:tcBorders>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5BB9E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909" w:type="dxa"/>
            <w:vMerge w:val="continue"/>
            <w:tcBorders>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70A86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687" w:type="dxa"/>
            <w:vMerge w:val="continue"/>
            <w:tcBorders>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082D4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c>
          <w:tcPr>
            <w:tcW w:w="543" w:type="dxa"/>
            <w:vMerge w:val="continue"/>
            <w:tcBorders>
              <w:left w:val="nil"/>
              <w:bottom w:val="single" w:color="auto" w:sz="8" w:space="0"/>
              <w:right w:val="single" w:color="auto" w:sz="4" w:space="0"/>
            </w:tcBorders>
            <w:shd w:val="clear" w:color="auto" w:fill="E6F4FF"/>
            <w:tcMar>
              <w:top w:w="0" w:type="dxa"/>
              <w:left w:w="108" w:type="dxa"/>
              <w:bottom w:w="0" w:type="dxa"/>
              <w:right w:w="108" w:type="dxa"/>
            </w:tcMar>
            <w:vAlign w:val="center"/>
          </w:tcPr>
          <w:p w14:paraId="538FB3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kern w:val="0"/>
                <w:sz w:val="24"/>
                <w:szCs w:val="24"/>
                <w:lang w:val="en-US" w:eastAsia="zh-CN"/>
              </w:rPr>
            </w:pPr>
          </w:p>
        </w:tc>
      </w:tr>
      <w:tr w14:paraId="168306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13C673F5">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0268D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（七）总计</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6B8D03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031BBD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64DC1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9DB66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DA009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B0B0C8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799A3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0 </w:t>
            </w:r>
          </w:p>
        </w:tc>
      </w:tr>
      <w:tr w14:paraId="1FA6924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ABC09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left"/>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四、结转下年度继续办理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5F1CA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793BC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3BFD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 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954F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2DD4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9756F5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8A1BA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r>
    </w:tbl>
    <w:p w14:paraId="182E207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jc w:val="both"/>
        <w:textAlignment w:val="auto"/>
        <w:rPr>
          <w:rFonts w:hint="eastAsia" w:ascii="黑体" w:hAnsi="黑体" w:eastAsia="黑体" w:cs="黑体"/>
          <w:b w:val="0"/>
          <w:bCs/>
          <w:i w:val="0"/>
          <w:caps w:val="0"/>
          <w:color w:val="auto"/>
          <w:spacing w:val="0"/>
          <w:sz w:val="32"/>
          <w:szCs w:val="32"/>
          <w:lang w:eastAsia="zh-CN"/>
        </w:rPr>
      </w:pPr>
    </w:p>
    <w:p w14:paraId="16930B0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jc w:val="both"/>
        <w:textAlignment w:val="auto"/>
        <w:rPr>
          <w:rFonts w:hint="eastAsia" w:ascii="黑体" w:hAnsi="黑体" w:eastAsia="黑体" w:cs="黑体"/>
          <w:b w:val="0"/>
          <w:bCs/>
          <w:i w:val="0"/>
          <w:caps w:val="0"/>
          <w:color w:val="auto"/>
          <w:spacing w:val="0"/>
          <w:sz w:val="32"/>
          <w:szCs w:val="32"/>
        </w:rPr>
      </w:pPr>
      <w:r>
        <w:rPr>
          <w:rFonts w:hint="eastAsia" w:ascii="黑体" w:hAnsi="黑体" w:eastAsia="黑体" w:cs="黑体"/>
          <w:b w:val="0"/>
          <w:bCs/>
          <w:i w:val="0"/>
          <w:caps w:val="0"/>
          <w:color w:val="auto"/>
          <w:spacing w:val="0"/>
          <w:sz w:val="32"/>
          <w:szCs w:val="32"/>
          <w:lang w:eastAsia="zh-CN"/>
        </w:rPr>
        <w:t>四</w:t>
      </w:r>
      <w:r>
        <w:rPr>
          <w:rFonts w:hint="eastAsia" w:ascii="黑体" w:hAnsi="黑体" w:eastAsia="黑体" w:cs="黑体"/>
          <w:b w:val="0"/>
          <w:bCs/>
          <w:i w:val="0"/>
          <w:caps w:val="0"/>
          <w:color w:val="auto"/>
          <w:spacing w:val="0"/>
          <w:sz w:val="32"/>
          <w:szCs w:val="32"/>
        </w:rPr>
        <w:t>、政府信息公开行政复议、行政诉讼情况</w:t>
      </w:r>
    </w:p>
    <w:p w14:paraId="07530C3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jc w:val="both"/>
        <w:textAlignment w:val="auto"/>
        <w:rPr>
          <w:rFonts w:hint="eastAsia" w:ascii="仿宋" w:hAnsi="仿宋" w:eastAsia="仿宋" w:cs="仿宋"/>
          <w:b w:val="0"/>
          <w:i w:val="0"/>
          <w:caps w:val="0"/>
          <w:color w:val="auto"/>
          <w:spacing w:val="0"/>
          <w:sz w:val="32"/>
          <w:szCs w:val="32"/>
        </w:rPr>
      </w:pPr>
    </w:p>
    <w:tbl>
      <w:tblPr>
        <w:tblStyle w:val="2"/>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59173E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934CF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B2C82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行政诉讼</w:t>
            </w:r>
          </w:p>
        </w:tc>
      </w:tr>
      <w:tr w14:paraId="7D4A0C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35C076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结果维持</w:t>
            </w:r>
          </w:p>
        </w:tc>
        <w:tc>
          <w:tcPr>
            <w:tcW w:w="60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F969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结果纠正</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75D43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其他结果</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9FC419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F32D40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总计</w:t>
            </w:r>
          </w:p>
        </w:tc>
        <w:tc>
          <w:tcPr>
            <w:tcW w:w="297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0B638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3291D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复议后起诉</w:t>
            </w:r>
          </w:p>
        </w:tc>
      </w:tr>
      <w:tr w14:paraId="0E837F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370" w:hRule="atLeast"/>
          <w:jc w:val="center"/>
        </w:trPr>
        <w:tc>
          <w:tcPr>
            <w:tcW w:w="604"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3154FB0E">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60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B2425DE">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FA2B47">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CB5A5C2">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6893719">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color w:val="auto"/>
                <w:sz w:val="24"/>
                <w:szCs w:val="24"/>
              </w:rPr>
            </w:pP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AD475D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结果维持</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1DE170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CA72B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其他结果</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F4088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尚未审结</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57951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总计</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5F1AB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结果维持</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2C13E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B7D84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其他结果</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53DFE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尚未审结</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00CE0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总计</w:t>
            </w:r>
          </w:p>
        </w:tc>
      </w:tr>
      <w:tr w14:paraId="5506E9F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EC7513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FD512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A3BC5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49425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58"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F3E61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992A05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91286E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2ED64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2B070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FCF9C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4F43B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AE3D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rPr>
              <w:t> 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35BF61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C8D1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center"/>
              <w:textAlignment w:val="auto"/>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rPr>
              <w:t>0 </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27220C6">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bl>
    <w:p w14:paraId="76BB43A8">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Lines="0" w:beforeAutospacing="0" w:after="0" w:afterLines="0" w:afterAutospacing="0"/>
        <w:ind w:right="0" w:rightChars="0"/>
        <w:jc w:val="both"/>
        <w:rPr>
          <w:rFonts w:hint="eastAsia" w:ascii="黑体" w:hAnsi="黑体" w:eastAsia="黑体" w:cs="黑体"/>
          <w:b/>
          <w:i w:val="0"/>
          <w:caps w:val="0"/>
          <w:color w:val="000000"/>
          <w:spacing w:val="0"/>
          <w:sz w:val="32"/>
          <w:szCs w:val="32"/>
          <w:lang w:val="en-US" w:eastAsia="zh-CN"/>
        </w:rPr>
      </w:pPr>
    </w:p>
    <w:p w14:paraId="0812A298">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Lines="0" w:beforeAutospacing="0" w:after="0" w:afterLines="0" w:afterAutospacing="0"/>
        <w:ind w:right="0" w:rightChars="0" w:firstLine="640" w:firstLineChars="200"/>
        <w:jc w:val="both"/>
        <w:rPr>
          <w:rFonts w:hint="eastAsia" w:ascii="仿宋" w:hAnsi="仿宋" w:eastAsia="仿宋" w:cs="仿宋"/>
          <w:b w:val="0"/>
          <w:bCs/>
          <w:sz w:val="32"/>
          <w:szCs w:val="32"/>
          <w:lang w:val="en-US" w:eastAsia="zh-CN"/>
        </w:rPr>
      </w:pPr>
      <w:r>
        <w:rPr>
          <w:rFonts w:hint="eastAsia" w:ascii="黑体" w:hAnsi="黑体" w:eastAsia="黑体" w:cs="黑体"/>
          <w:b w:val="0"/>
          <w:bCs/>
          <w:i w:val="0"/>
          <w:caps w:val="0"/>
          <w:color w:val="000000"/>
          <w:spacing w:val="0"/>
          <w:sz w:val="32"/>
          <w:szCs w:val="32"/>
          <w:lang w:val="en-US" w:eastAsia="zh-CN"/>
        </w:rPr>
        <w:t>五、</w:t>
      </w:r>
      <w:r>
        <w:rPr>
          <w:rFonts w:hint="eastAsia" w:ascii="黑体" w:hAnsi="黑体" w:eastAsia="黑体" w:cs="黑体"/>
          <w:b w:val="0"/>
          <w:bCs/>
          <w:i w:val="0"/>
          <w:caps w:val="0"/>
          <w:color w:val="000000"/>
          <w:spacing w:val="0"/>
          <w:sz w:val="32"/>
          <w:szCs w:val="32"/>
        </w:rPr>
        <w:t>存在的主要问题及改进情况</w:t>
      </w:r>
      <w:r>
        <w:rPr>
          <w:rFonts w:hint="eastAsia" w:ascii="仿宋" w:hAnsi="仿宋" w:eastAsia="仿宋" w:cs="仿宋"/>
          <w:b w:val="0"/>
          <w:bCs/>
          <w:sz w:val="32"/>
          <w:szCs w:val="32"/>
          <w:lang w:val="en-US" w:eastAsia="zh-CN"/>
        </w:rPr>
        <w:t xml:space="preserve"> </w:t>
      </w:r>
    </w:p>
    <w:p w14:paraId="14A987E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提升信息公开质量、主动性和及时性方面继续探索完善。下一步我们将坚持对标对表,高起点做好财政信息公开工作,优化细化相关短板栏目,健全完善财政透明度机制,继续认真落实《条例》和相关工作要求，扎实推动政府信息公开工作提质增效，更好满足人民群众对高质量政务公开的需要。</w:t>
      </w:r>
    </w:p>
    <w:p w14:paraId="169D164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Lines="0" w:beforeAutospacing="0" w:after="0" w:afterLines="0" w:afterAutospacing="0"/>
        <w:ind w:right="0" w:firstLine="640" w:firstLineChars="200"/>
        <w:jc w:val="both"/>
        <w:rPr>
          <w:rFonts w:hint="eastAsia" w:ascii="黑体" w:hAnsi="黑体" w:eastAsia="黑体" w:cs="黑体"/>
          <w:b w:val="0"/>
          <w:bCs/>
          <w:i w:val="0"/>
          <w:caps w:val="0"/>
          <w:color w:val="000000"/>
          <w:spacing w:val="0"/>
          <w:sz w:val="32"/>
          <w:szCs w:val="32"/>
        </w:rPr>
      </w:pPr>
      <w:r>
        <w:rPr>
          <w:rFonts w:hint="eastAsia" w:ascii="黑体" w:hAnsi="黑体" w:eastAsia="黑体" w:cs="黑体"/>
          <w:b w:val="0"/>
          <w:bCs/>
          <w:i w:val="0"/>
          <w:caps w:val="0"/>
          <w:color w:val="000000"/>
          <w:spacing w:val="0"/>
          <w:sz w:val="32"/>
          <w:szCs w:val="32"/>
          <w:lang w:val="en-US" w:eastAsia="zh-CN"/>
        </w:rPr>
        <w:t>六、</w:t>
      </w:r>
      <w:r>
        <w:rPr>
          <w:rFonts w:hint="eastAsia" w:ascii="黑体" w:hAnsi="黑体" w:eastAsia="黑体" w:cs="黑体"/>
          <w:b w:val="0"/>
          <w:bCs/>
          <w:i w:val="0"/>
          <w:caps w:val="0"/>
          <w:color w:val="000000"/>
          <w:spacing w:val="0"/>
          <w:sz w:val="32"/>
          <w:szCs w:val="32"/>
        </w:rPr>
        <w:t>其他需要报告的事项</w:t>
      </w:r>
    </w:p>
    <w:p w14:paraId="76641A33">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无。</w:t>
      </w:r>
    </w:p>
    <w:p w14:paraId="58650740">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sz w:val="32"/>
          <w:szCs w:val="32"/>
          <w:lang w:val="en-US" w:eastAsia="zh-CN"/>
        </w:rPr>
      </w:pPr>
    </w:p>
    <w:p w14:paraId="0C4BD522">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ABDF676"/>
    <w:multiLevelType w:val="singleLevel"/>
    <w:tmpl w:val="7ABDF67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jNmRjNzE1ZTY5NTJhOGFhNDE3NjI4MjIyNjNkYTMifQ=="/>
  </w:docVars>
  <w:rsids>
    <w:rsidRoot w:val="42783A84"/>
    <w:rsid w:val="04C0522C"/>
    <w:rsid w:val="0BA67E28"/>
    <w:rsid w:val="0BEC0236"/>
    <w:rsid w:val="0C6F3DB1"/>
    <w:rsid w:val="1177623A"/>
    <w:rsid w:val="11D6550D"/>
    <w:rsid w:val="11FF4FB6"/>
    <w:rsid w:val="13DA5FB0"/>
    <w:rsid w:val="14AE0092"/>
    <w:rsid w:val="16AF475B"/>
    <w:rsid w:val="17DC2EA7"/>
    <w:rsid w:val="1B0D42B0"/>
    <w:rsid w:val="1BF326E0"/>
    <w:rsid w:val="1F243CE3"/>
    <w:rsid w:val="20895274"/>
    <w:rsid w:val="21A908B1"/>
    <w:rsid w:val="2360522D"/>
    <w:rsid w:val="25A236A6"/>
    <w:rsid w:val="26AA185D"/>
    <w:rsid w:val="276545CF"/>
    <w:rsid w:val="2793532D"/>
    <w:rsid w:val="27FE51BC"/>
    <w:rsid w:val="2E792BFC"/>
    <w:rsid w:val="2F1F0C64"/>
    <w:rsid w:val="2FE6686E"/>
    <w:rsid w:val="302756AC"/>
    <w:rsid w:val="3045387A"/>
    <w:rsid w:val="32120648"/>
    <w:rsid w:val="33DB429B"/>
    <w:rsid w:val="347F23B3"/>
    <w:rsid w:val="352149D6"/>
    <w:rsid w:val="357A32CA"/>
    <w:rsid w:val="36C64420"/>
    <w:rsid w:val="384A0187"/>
    <w:rsid w:val="390B34B4"/>
    <w:rsid w:val="39D50897"/>
    <w:rsid w:val="3E0E0BD7"/>
    <w:rsid w:val="3EB10648"/>
    <w:rsid w:val="4108760D"/>
    <w:rsid w:val="42783A84"/>
    <w:rsid w:val="43683C61"/>
    <w:rsid w:val="453C1233"/>
    <w:rsid w:val="47487981"/>
    <w:rsid w:val="4CB46925"/>
    <w:rsid w:val="4CDE0177"/>
    <w:rsid w:val="4D202E6D"/>
    <w:rsid w:val="4D6D36D2"/>
    <w:rsid w:val="532A16EF"/>
    <w:rsid w:val="537B019D"/>
    <w:rsid w:val="560B4777"/>
    <w:rsid w:val="56A70D7A"/>
    <w:rsid w:val="56D95906"/>
    <w:rsid w:val="57350691"/>
    <w:rsid w:val="59CE5121"/>
    <w:rsid w:val="5A81574B"/>
    <w:rsid w:val="664F5B05"/>
    <w:rsid w:val="674950D9"/>
    <w:rsid w:val="68E40537"/>
    <w:rsid w:val="69CFA642"/>
    <w:rsid w:val="6B2A4BC1"/>
    <w:rsid w:val="6C0661C0"/>
    <w:rsid w:val="6C1B5197"/>
    <w:rsid w:val="6D3A2F94"/>
    <w:rsid w:val="6D430049"/>
    <w:rsid w:val="6DC87A8E"/>
    <w:rsid w:val="6E98699D"/>
    <w:rsid w:val="70D25345"/>
    <w:rsid w:val="71A7583C"/>
    <w:rsid w:val="738B18DE"/>
    <w:rsid w:val="73E9523D"/>
    <w:rsid w:val="752D31C6"/>
    <w:rsid w:val="77563082"/>
    <w:rsid w:val="7E0455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customStyle="1" w:styleId="4">
    <w:name w:val="Normal (Web)"/>
    <w:basedOn w:val="1"/>
    <w:autoRedefine/>
    <w:qFormat/>
    <w:uiPriority w:val="0"/>
    <w:pPr>
      <w:spacing w:before="0" w:beforeLines="0" w:beforeAutospacing="0" w:after="0" w:afterLines="0" w:afterAutospacing="0"/>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2245</Words>
  <Characters>2343</Characters>
  <Lines>0</Lines>
  <Paragraphs>0</Paragraphs>
  <TotalTime>11</TotalTime>
  <ScaleCrop>false</ScaleCrop>
  <LinksUpToDate>false</LinksUpToDate>
  <CharactersWithSpaces>2475</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2021-01-12T11:11:00Z</dcterms:created>
  <dc:creator>6℃的橙汁</dc:creator>
  <cp:lastModifiedBy>greatwall</cp:lastModifiedBy>
  <cp:lastPrinted>2022-01-25T09:19:00Z</cp:lastPrinted>
  <dcterms:modified xsi:type="dcterms:W3CDTF">2026-01-19T15:14:30Z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1AD1799FF0BE438F9EF5E79047B3E235</vt:lpwstr>
  </property>
  <property fmtid="{D5CDD505-2E9C-101B-9397-08002B2CF9AE}" pid="4" name="KSOTemplateDocerSaveRecord">
    <vt:lpwstr>eyJoZGlkIjoiZjYxNjNmODFkNzBkZWNjMzg0MjBlZTM4YzhkYTQxMjYiLCJ1c2VySWQiOiIxNjYwNjY5MDMifQ==</vt:lpwstr>
  </property>
</Properties>
</file>