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一、共青团新华区委员会（本级）收支预算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一、共青团新华区委员会（本级）收支预算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38.64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37.71</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0.93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38.64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38.64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38.64</w:t>
            </w:r>
          </w:p>
        </w:tc>
        <w:tc>
          <w:tcPr>
            <w:tcW w:w="4535" w:type="dxa"/>
            <w:vAlign w:val="center"/>
          </w:tcPr>
          <w:p>
            <w:pPr>
              <w:pStyle w:val="单元格样式6"/>
            </w:pPr>
            <w:r>
              <w:t xml:space="preserve">支出总计</w:t>
            </w:r>
          </w:p>
        </w:tc>
        <w:tc>
          <w:tcPr>
            <w:tcW w:w="2126" w:type="dxa"/>
            <w:vAlign w:val="center"/>
          </w:tcPr>
          <w:p>
            <w:pPr>
              <w:pStyle w:val="单元格样式7"/>
            </w:pPr>
            <w:r>
              <w:t xml:space="preserve">38.64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38.64</w:t>
            </w:r>
          </w:p>
        </w:tc>
        <w:tc>
          <w:tcPr>
            <w:tcW w:w="1134" w:type="dxa"/>
            <w:vAlign w:val="center"/>
          </w:tcPr>
          <w:p>
            <w:pPr>
              <w:pStyle w:val="单元格样式7"/>
            </w:pPr>
            <w:r>
              <w:t xml:space="preserve">38.64</w:t>
            </w:r>
          </w:p>
        </w:tc>
        <w:tc>
          <w:tcPr>
            <w:tcW w:w="1134" w:type="dxa"/>
            <w:vAlign w:val="center"/>
          </w:tcPr>
          <w:p>
            <w:pPr>
              <w:pStyle w:val="单元格样式7"/>
            </w:pPr>
            <w:r>
              <w:t xml:space="preserve">38.64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37.71</w:t>
            </w:r>
          </w:p>
        </w:tc>
        <w:tc>
          <w:tcPr>
            <w:tcW w:w="1134" w:type="dxa"/>
            <w:vAlign w:val="center"/>
          </w:tcPr>
          <w:p>
            <w:pPr>
              <w:pStyle w:val="单元格样式4"/>
            </w:pPr>
            <w:r>
              <w:t xml:space="preserve">37.71</w:t>
            </w:r>
          </w:p>
        </w:tc>
        <w:tc>
          <w:tcPr>
            <w:tcW w:w="1134" w:type="dxa"/>
            <w:vAlign w:val="center"/>
          </w:tcPr>
          <w:p>
            <w:pPr>
              <w:pStyle w:val="单元格样式4"/>
            </w:pPr>
            <w:r>
              <w:t xml:space="preserve">37.71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37.71</w:t>
            </w:r>
          </w:p>
        </w:tc>
        <w:tc>
          <w:tcPr>
            <w:tcW w:w="1134" w:type="dxa"/>
            <w:vAlign w:val="center"/>
          </w:tcPr>
          <w:p>
            <w:pPr>
              <w:pStyle w:val="单元格样式4"/>
            </w:pPr>
            <w:r>
              <w:t xml:space="preserve">37.71</w:t>
            </w:r>
          </w:p>
        </w:tc>
        <w:tc>
          <w:tcPr>
            <w:tcW w:w="1134" w:type="dxa"/>
            <w:vAlign w:val="center"/>
          </w:tcPr>
          <w:p>
            <w:pPr>
              <w:pStyle w:val="单元格样式4"/>
            </w:pPr>
            <w:r>
              <w:t xml:space="preserve">37.71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37.71</w:t>
            </w:r>
          </w:p>
        </w:tc>
        <w:tc>
          <w:tcPr>
            <w:tcW w:w="1134" w:type="dxa"/>
            <w:vAlign w:val="center"/>
          </w:tcPr>
          <w:p>
            <w:pPr>
              <w:pStyle w:val="单元格样式4"/>
            </w:pPr>
            <w:r>
              <w:t xml:space="preserve">37.71</w:t>
            </w:r>
          </w:p>
        </w:tc>
        <w:tc>
          <w:tcPr>
            <w:tcW w:w="1134" w:type="dxa"/>
            <w:vAlign w:val="center"/>
          </w:tcPr>
          <w:p>
            <w:pPr>
              <w:pStyle w:val="单元格样式4"/>
            </w:pPr>
            <w:r>
              <w:t xml:space="preserve">37.71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r>
              <w:t xml:space="preserve">0.93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38.64</w:t>
            </w:r>
          </w:p>
        </w:tc>
        <w:tc>
          <w:tcPr>
            <w:tcW w:w="1361" w:type="dxa"/>
            <w:vAlign w:val="center"/>
          </w:tcPr>
          <w:p>
            <w:pPr>
              <w:pStyle w:val="单元格样式7"/>
            </w:pPr>
            <w:r>
              <w:t xml:space="preserve">35.64</w:t>
            </w:r>
          </w:p>
        </w:tc>
        <w:tc>
          <w:tcPr>
            <w:tcW w:w="1361" w:type="dxa"/>
            <w:vAlign w:val="center"/>
          </w:tcPr>
          <w:p>
            <w:pPr>
              <w:pStyle w:val="单元格样式7"/>
            </w:pPr>
            <w:r>
              <w:t xml:space="preserve">3.00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37.71</w:t>
            </w:r>
          </w:p>
        </w:tc>
        <w:tc>
          <w:tcPr>
            <w:tcW w:w="1361" w:type="dxa"/>
            <w:vAlign w:val="center"/>
          </w:tcPr>
          <w:p>
            <w:pPr>
              <w:pStyle w:val="单元格样式4"/>
            </w:pPr>
            <w:r>
              <w:t xml:space="preserve">34.71</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37.71</w:t>
            </w:r>
          </w:p>
        </w:tc>
        <w:tc>
          <w:tcPr>
            <w:tcW w:w="1361" w:type="dxa"/>
            <w:vAlign w:val="center"/>
          </w:tcPr>
          <w:p>
            <w:pPr>
              <w:pStyle w:val="单元格样式4"/>
            </w:pPr>
            <w:r>
              <w:t xml:space="preserve">34.71</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37.71</w:t>
            </w:r>
          </w:p>
        </w:tc>
        <w:tc>
          <w:tcPr>
            <w:tcW w:w="1361" w:type="dxa"/>
            <w:vAlign w:val="center"/>
          </w:tcPr>
          <w:p>
            <w:pPr>
              <w:pStyle w:val="单元格样式4"/>
            </w:pPr>
            <w:r>
              <w:t xml:space="preserve">34.71</w:t>
            </w:r>
          </w:p>
        </w:tc>
        <w:tc>
          <w:tcPr>
            <w:tcW w:w="1361" w:type="dxa"/>
            <w:vAlign w:val="center"/>
          </w:tcPr>
          <w:p>
            <w:pPr>
              <w:pStyle w:val="单元格样式4"/>
            </w:pPr>
            <w:r>
              <w:t xml:space="preserve">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0.93</w:t>
            </w:r>
          </w:p>
        </w:tc>
        <w:tc>
          <w:tcPr>
            <w:tcW w:w="1361" w:type="dxa"/>
            <w:vAlign w:val="center"/>
          </w:tcPr>
          <w:p>
            <w:pPr>
              <w:pStyle w:val="单元格样式4"/>
            </w:pPr>
            <w:r>
              <w:t xml:space="preserve">0.93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0.93</w:t>
            </w:r>
          </w:p>
        </w:tc>
        <w:tc>
          <w:tcPr>
            <w:tcW w:w="1361" w:type="dxa"/>
            <w:vAlign w:val="center"/>
          </w:tcPr>
          <w:p>
            <w:pPr>
              <w:pStyle w:val="单元格样式4"/>
            </w:pPr>
            <w:r>
              <w:t xml:space="preserve">0.93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0.93</w:t>
            </w:r>
          </w:p>
        </w:tc>
        <w:tc>
          <w:tcPr>
            <w:tcW w:w="1361" w:type="dxa"/>
            <w:vAlign w:val="center"/>
          </w:tcPr>
          <w:p>
            <w:pPr>
              <w:pStyle w:val="单元格样式4"/>
            </w:pPr>
            <w:r>
              <w:t xml:space="preserve">0.93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38.64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37.71</w:t>
            </w:r>
          </w:p>
        </w:tc>
        <w:tc>
          <w:tcPr>
            <w:tcW w:w="1474" w:type="dxa"/>
            <w:vAlign w:val="center"/>
          </w:tcPr>
          <w:p>
            <w:pPr>
              <w:pStyle w:val="单元格样式4"/>
            </w:pPr>
            <w:r>
              <w:t xml:space="preserve">37.71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0.93</w:t>
            </w:r>
          </w:p>
        </w:tc>
        <w:tc>
          <w:tcPr>
            <w:tcW w:w="1474" w:type="dxa"/>
            <w:vAlign w:val="center"/>
          </w:tcPr>
          <w:p>
            <w:pPr>
              <w:pStyle w:val="单元格样式4"/>
            </w:pPr>
            <w:r>
              <w:t xml:space="preserve">0.93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38.64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38.64</w:t>
            </w:r>
          </w:p>
        </w:tc>
        <w:tc>
          <w:tcPr>
            <w:tcW w:w="1474" w:type="dxa"/>
            <w:vAlign w:val="center"/>
          </w:tcPr>
          <w:p>
            <w:pPr>
              <w:pStyle w:val="单元格样式7"/>
            </w:pPr>
            <w:r>
              <w:t xml:space="preserve">38.64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38.64</w:t>
            </w:r>
          </w:p>
        </w:tc>
        <w:tc>
          <w:tcPr>
            <w:tcW w:w="3402" w:type="dxa"/>
            <w:vAlign w:val="center"/>
          </w:tcPr>
          <w:p>
            <w:pPr>
              <w:pStyle w:val="单元格样式6"/>
            </w:pPr>
            <w:r>
              <w:t xml:space="preserve">支出总计</w:t>
            </w:r>
          </w:p>
        </w:tc>
        <w:tc>
          <w:tcPr>
            <w:tcW w:w="1474" w:type="dxa"/>
            <w:vAlign w:val="center"/>
          </w:tcPr>
          <w:p>
            <w:pPr>
              <w:pStyle w:val="单元格样式7"/>
            </w:pPr>
            <w:r>
              <w:t xml:space="preserve">38.64</w:t>
            </w:r>
          </w:p>
        </w:tc>
        <w:tc>
          <w:tcPr>
            <w:tcW w:w="1474" w:type="dxa"/>
            <w:vAlign w:val="center"/>
          </w:tcPr>
          <w:p>
            <w:pPr>
              <w:pStyle w:val="单元格样式7"/>
            </w:pPr>
            <w:r>
              <w:t xml:space="preserve">38.64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38.64</w:t>
            </w:r>
          </w:p>
        </w:tc>
        <w:tc>
          <w:tcPr>
            <w:tcW w:w="2551" w:type="dxa"/>
            <w:vAlign w:val="center"/>
          </w:tcPr>
          <w:p>
            <w:pPr>
              <w:pStyle w:val="单元格样式7"/>
            </w:pPr>
            <w:r>
              <w:t xml:space="preserve">35.64</w:t>
            </w:r>
          </w:p>
        </w:tc>
        <w:tc>
          <w:tcPr>
            <w:tcW w:w="2551" w:type="dxa"/>
            <w:vAlign w:val="center"/>
          </w:tcPr>
          <w:p>
            <w:pPr>
              <w:pStyle w:val="单元格样式7"/>
            </w:pPr>
            <w:r>
              <w:t xml:space="preserve">3.00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37.71</w:t>
            </w:r>
          </w:p>
        </w:tc>
        <w:tc>
          <w:tcPr>
            <w:tcW w:w="2551" w:type="dxa"/>
            <w:vAlign w:val="center"/>
          </w:tcPr>
          <w:p>
            <w:pPr>
              <w:pStyle w:val="单元格样式4"/>
            </w:pPr>
            <w:r>
              <w:t xml:space="preserve">34.71</w:t>
            </w: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37.71</w:t>
            </w:r>
          </w:p>
        </w:tc>
        <w:tc>
          <w:tcPr>
            <w:tcW w:w="2551" w:type="dxa"/>
            <w:vAlign w:val="center"/>
          </w:tcPr>
          <w:p>
            <w:pPr>
              <w:pStyle w:val="单元格样式4"/>
            </w:pPr>
            <w:r>
              <w:t xml:space="preserve">34.71</w:t>
            </w: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37.71</w:t>
            </w:r>
          </w:p>
        </w:tc>
        <w:tc>
          <w:tcPr>
            <w:tcW w:w="2551" w:type="dxa"/>
            <w:vAlign w:val="center"/>
          </w:tcPr>
          <w:p>
            <w:pPr>
              <w:pStyle w:val="单元格样式4"/>
            </w:pPr>
            <w:r>
              <w:t xml:space="preserve">34.71</w:t>
            </w: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0.93</w:t>
            </w:r>
          </w:p>
        </w:tc>
        <w:tc>
          <w:tcPr>
            <w:tcW w:w="2551" w:type="dxa"/>
            <w:vAlign w:val="center"/>
          </w:tcPr>
          <w:p>
            <w:pPr>
              <w:pStyle w:val="单元格样式4"/>
            </w:pPr>
            <w:r>
              <w:t xml:space="preserve">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0.93</w:t>
            </w:r>
          </w:p>
        </w:tc>
        <w:tc>
          <w:tcPr>
            <w:tcW w:w="2551" w:type="dxa"/>
            <w:vAlign w:val="center"/>
          </w:tcPr>
          <w:p>
            <w:pPr>
              <w:pStyle w:val="单元格样式4"/>
            </w:pPr>
            <w:r>
              <w:t xml:space="preserve">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0.93</w:t>
            </w:r>
          </w:p>
        </w:tc>
        <w:tc>
          <w:tcPr>
            <w:tcW w:w="2551" w:type="dxa"/>
            <w:vAlign w:val="center"/>
          </w:tcPr>
          <w:p>
            <w:pPr>
              <w:pStyle w:val="单元格样式4"/>
            </w:pPr>
            <w:r>
              <w:t xml:space="preserve">0.93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35.64</w:t>
            </w:r>
          </w:p>
        </w:tc>
        <w:tc>
          <w:tcPr>
            <w:tcW w:w="2551" w:type="dxa"/>
            <w:vAlign w:val="center"/>
          </w:tcPr>
          <w:p>
            <w:pPr>
              <w:pStyle w:val="单元格样式7"/>
            </w:pPr>
            <w:r>
              <w:t xml:space="preserve">32.41</w:t>
            </w:r>
          </w:p>
        </w:tc>
        <w:tc>
          <w:tcPr>
            <w:tcW w:w="2551" w:type="dxa"/>
            <w:vAlign w:val="center"/>
          </w:tcPr>
          <w:p>
            <w:pPr>
              <w:pStyle w:val="单元格样式7"/>
            </w:pPr>
            <w:r>
              <w:t xml:space="preserve">3.23</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32.41</w:t>
            </w:r>
          </w:p>
        </w:tc>
        <w:tc>
          <w:tcPr>
            <w:tcW w:w="2551" w:type="dxa"/>
            <w:vAlign w:val="center"/>
          </w:tcPr>
          <w:p>
            <w:pPr>
              <w:pStyle w:val="单元格样式4"/>
            </w:pPr>
            <w:r>
              <w:t xml:space="preserve">32.41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8.06</w:t>
            </w:r>
          </w:p>
        </w:tc>
        <w:tc>
          <w:tcPr>
            <w:tcW w:w="2551" w:type="dxa"/>
            <w:vAlign w:val="center"/>
          </w:tcPr>
          <w:p>
            <w:pPr>
              <w:pStyle w:val="单元格样式4"/>
            </w:pPr>
            <w:r>
              <w:t xml:space="preserve">8.06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7.31</w:t>
            </w:r>
          </w:p>
        </w:tc>
        <w:tc>
          <w:tcPr>
            <w:tcW w:w="2551" w:type="dxa"/>
            <w:vAlign w:val="center"/>
          </w:tcPr>
          <w:p>
            <w:pPr>
              <w:pStyle w:val="单元格样式4"/>
            </w:pPr>
            <w:r>
              <w:t xml:space="preserve">7.31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8.49</w:t>
            </w:r>
          </w:p>
        </w:tc>
        <w:tc>
          <w:tcPr>
            <w:tcW w:w="2551" w:type="dxa"/>
            <w:vAlign w:val="center"/>
          </w:tcPr>
          <w:p>
            <w:pPr>
              <w:pStyle w:val="单元格样式4"/>
            </w:pPr>
            <w:r>
              <w:t xml:space="preserve">8.49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1.48</w:t>
            </w:r>
          </w:p>
        </w:tc>
        <w:tc>
          <w:tcPr>
            <w:tcW w:w="2551" w:type="dxa"/>
            <w:vAlign w:val="center"/>
          </w:tcPr>
          <w:p>
            <w:pPr>
              <w:pStyle w:val="单元格样式4"/>
            </w:pPr>
            <w:r>
              <w:t xml:space="preserve">1.48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0.93</w:t>
            </w:r>
          </w:p>
        </w:tc>
        <w:tc>
          <w:tcPr>
            <w:tcW w:w="2551" w:type="dxa"/>
            <w:vAlign w:val="center"/>
          </w:tcPr>
          <w:p>
            <w:pPr>
              <w:pStyle w:val="单元格样式4"/>
            </w:pPr>
            <w:r>
              <w:t xml:space="preserve">0.93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0.08</w:t>
            </w:r>
          </w:p>
        </w:tc>
        <w:tc>
          <w:tcPr>
            <w:tcW w:w="2551" w:type="dxa"/>
            <w:vAlign w:val="center"/>
          </w:tcPr>
          <w:p>
            <w:pPr>
              <w:pStyle w:val="单元格样式4"/>
            </w:pPr>
            <w:r>
              <w:t xml:space="preserve">0.08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3.00</w:t>
            </w:r>
          </w:p>
        </w:tc>
        <w:tc>
          <w:tcPr>
            <w:tcW w:w="2551" w:type="dxa"/>
            <w:vAlign w:val="center"/>
          </w:tcPr>
          <w:p>
            <w:pPr>
              <w:pStyle w:val="单元格样式4"/>
            </w:pPr>
            <w:r>
              <w:t xml:space="preserve">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3.23</w:t>
            </w:r>
          </w:p>
        </w:tc>
        <w:tc>
          <w:tcPr>
            <w:tcW w:w="2551" w:type="dxa"/>
            <w:vAlign w:val="center"/>
          </w:tcPr>
          <w:p>
            <w:pPr>
              <w:pStyle w:val="单元格样式4"/>
            </w:pPr>
          </w:p>
        </w:tc>
        <w:tc>
          <w:tcPr>
            <w:tcW w:w="2551" w:type="dxa"/>
            <w:vAlign w:val="center"/>
          </w:tcPr>
          <w:p>
            <w:pPr>
              <w:pStyle w:val="单元格样式4"/>
            </w:pPr>
            <w:r>
              <w:t xml:space="preserve">3.23</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0.32</w:t>
            </w:r>
          </w:p>
        </w:tc>
        <w:tc>
          <w:tcPr>
            <w:tcW w:w="2551" w:type="dxa"/>
            <w:vAlign w:val="center"/>
          </w:tcPr>
          <w:p>
            <w:pPr>
              <w:pStyle w:val="单元格样式4"/>
            </w:pPr>
          </w:p>
        </w:tc>
        <w:tc>
          <w:tcPr>
            <w:tcW w:w="2551" w:type="dxa"/>
            <w:vAlign w:val="center"/>
          </w:tcPr>
          <w:p>
            <w:pPr>
              <w:pStyle w:val="单元格样式4"/>
            </w:pPr>
            <w:r>
              <w:t xml:space="preserve">0.32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0.05</w:t>
            </w:r>
          </w:p>
        </w:tc>
        <w:tc>
          <w:tcPr>
            <w:tcW w:w="2551" w:type="dxa"/>
            <w:vAlign w:val="center"/>
          </w:tcPr>
          <w:p>
            <w:pPr>
              <w:pStyle w:val="单元格样式4"/>
            </w:pPr>
          </w:p>
        </w:tc>
        <w:tc>
          <w:tcPr>
            <w:tcW w:w="2551" w:type="dxa"/>
            <w:vAlign w:val="center"/>
          </w:tcPr>
          <w:p>
            <w:pPr>
              <w:pStyle w:val="单元格样式4"/>
            </w:pPr>
            <w:r>
              <w:t xml:space="preserve">0.05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1.14</w:t>
            </w:r>
          </w:p>
        </w:tc>
        <w:tc>
          <w:tcPr>
            <w:tcW w:w="2551" w:type="dxa"/>
            <w:vAlign w:val="center"/>
          </w:tcPr>
          <w:p>
            <w:pPr>
              <w:pStyle w:val="单元格样式4"/>
            </w:pPr>
          </w:p>
        </w:tc>
        <w:tc>
          <w:tcPr>
            <w:tcW w:w="2551" w:type="dxa"/>
            <w:vAlign w:val="center"/>
          </w:tcPr>
          <w:p>
            <w:pPr>
              <w:pStyle w:val="单元格样式4"/>
            </w:pPr>
            <w:r>
              <w:t xml:space="preserve">1.14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0.27</w:t>
            </w:r>
          </w:p>
        </w:tc>
        <w:tc>
          <w:tcPr>
            <w:tcW w:w="2551" w:type="dxa"/>
            <w:vAlign w:val="center"/>
          </w:tcPr>
          <w:p>
            <w:pPr>
              <w:pStyle w:val="单元格样式4"/>
            </w:pPr>
          </w:p>
        </w:tc>
        <w:tc>
          <w:tcPr>
            <w:tcW w:w="2551" w:type="dxa"/>
            <w:vAlign w:val="center"/>
          </w:tcPr>
          <w:p>
            <w:pPr>
              <w:pStyle w:val="单元格样式4"/>
            </w:pPr>
            <w:r>
              <w:t xml:space="preserve">0.27</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0.02</w:t>
            </w:r>
          </w:p>
        </w:tc>
        <w:tc>
          <w:tcPr>
            <w:tcW w:w="2551" w:type="dxa"/>
            <w:vAlign w:val="center"/>
          </w:tcPr>
          <w:p>
            <w:pPr>
              <w:pStyle w:val="单元格样式4"/>
            </w:pPr>
          </w:p>
        </w:tc>
        <w:tc>
          <w:tcPr>
            <w:tcW w:w="2551" w:type="dxa"/>
            <w:vAlign w:val="center"/>
          </w:tcPr>
          <w:p>
            <w:pPr>
              <w:pStyle w:val="单元格样式4"/>
            </w:pPr>
            <w:r>
              <w:t xml:space="preserve">0.02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0.06</w:t>
            </w:r>
          </w:p>
        </w:tc>
        <w:tc>
          <w:tcPr>
            <w:tcW w:w="2551" w:type="dxa"/>
            <w:vAlign w:val="center"/>
          </w:tcPr>
          <w:p>
            <w:pPr>
              <w:pStyle w:val="单元格样式4"/>
            </w:pPr>
          </w:p>
        </w:tc>
        <w:tc>
          <w:tcPr>
            <w:tcW w:w="2551" w:type="dxa"/>
            <w:vAlign w:val="center"/>
          </w:tcPr>
          <w:p>
            <w:pPr>
              <w:pStyle w:val="单元格样式4"/>
            </w:pPr>
            <w:r>
              <w:t xml:space="preserve">0.06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0.12</w:t>
            </w:r>
          </w:p>
        </w:tc>
        <w:tc>
          <w:tcPr>
            <w:tcW w:w="2551" w:type="dxa"/>
            <w:vAlign w:val="center"/>
          </w:tcPr>
          <w:p>
            <w:pPr>
              <w:pStyle w:val="单元格样式4"/>
            </w:pPr>
          </w:p>
        </w:tc>
        <w:tc>
          <w:tcPr>
            <w:tcW w:w="2551" w:type="dxa"/>
            <w:vAlign w:val="center"/>
          </w:tcPr>
          <w:p>
            <w:pPr>
              <w:pStyle w:val="单元格样式4"/>
            </w:pPr>
            <w:r>
              <w:t xml:space="preserve">0.12</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0.02</w:t>
            </w:r>
          </w:p>
        </w:tc>
        <w:tc>
          <w:tcPr>
            <w:tcW w:w="2551" w:type="dxa"/>
            <w:vAlign w:val="center"/>
          </w:tcPr>
          <w:p>
            <w:pPr>
              <w:pStyle w:val="单元格样式4"/>
            </w:pPr>
          </w:p>
        </w:tc>
        <w:tc>
          <w:tcPr>
            <w:tcW w:w="2551" w:type="dxa"/>
            <w:vAlign w:val="center"/>
          </w:tcPr>
          <w:p>
            <w:pPr>
              <w:pStyle w:val="单元格样式4"/>
            </w:pPr>
            <w:r>
              <w:t xml:space="preserve">0.02</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1.20</w:t>
            </w:r>
          </w:p>
        </w:tc>
        <w:tc>
          <w:tcPr>
            <w:tcW w:w="2551" w:type="dxa"/>
            <w:vAlign w:val="center"/>
          </w:tcPr>
          <w:p>
            <w:pPr>
              <w:pStyle w:val="单元格样式4"/>
            </w:pPr>
          </w:p>
        </w:tc>
        <w:tc>
          <w:tcPr>
            <w:tcW w:w="2551" w:type="dxa"/>
            <w:vAlign w:val="center"/>
          </w:tcPr>
          <w:p>
            <w:pPr>
              <w:pStyle w:val="单元格样式4"/>
            </w:pPr>
            <w:r>
              <w:t xml:space="preserve">1.20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0.03</w:t>
            </w:r>
          </w:p>
        </w:tc>
        <w:tc>
          <w:tcPr>
            <w:tcW w:w="2551" w:type="dxa"/>
            <w:vAlign w:val="center"/>
          </w:tcPr>
          <w:p>
            <w:pPr>
              <w:pStyle w:val="单元格样式4"/>
            </w:pPr>
          </w:p>
        </w:tc>
        <w:tc>
          <w:tcPr>
            <w:tcW w:w="2551" w:type="dxa"/>
            <w:vAlign w:val="center"/>
          </w:tcPr>
          <w:p>
            <w:pPr>
              <w:pStyle w:val="单元格样式4"/>
            </w:pPr>
            <w:r>
              <w:t xml:space="preserve">0.03</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0.02</w:t>
            </w:r>
          </w:p>
        </w:tc>
        <w:tc>
          <w:tcPr>
            <w:tcW w:w="2381" w:type="dxa"/>
            <w:vAlign w:val="center"/>
          </w:tcPr>
          <w:p>
            <w:pPr>
              <w:pStyle w:val="单元格样式7"/>
            </w:pPr>
            <w:r>
              <w:t xml:space="preserve">0.02</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0.02</w:t>
            </w:r>
          </w:p>
        </w:tc>
        <w:tc>
          <w:tcPr>
            <w:tcW w:w="2381" w:type="dxa"/>
            <w:vAlign w:val="center"/>
          </w:tcPr>
          <w:p>
            <w:pPr>
              <w:pStyle w:val="单元格样式4"/>
            </w:pPr>
            <w:r>
              <w:t xml:space="preserve">0.02</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共青团新华区委员会（本级）2026年单位预算信息公开情况说明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按照《中华人民共和国预算法》、《地方预决算公开操作规程》和《关于进一步推进预算公开工作的实施意见》规定，现将共青团新华区委员会（本级）2026年单位预算公开如下：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(一)组织团员青年学习马克思列宁主义、毛泽东思想、邓小平理论、“三个代表”重要思想、科学发展观、习近平新时代中国特色社会主义思想，学习党的路线、方针和政策，学习科学、文化和业务。</w:t>
      </w:r>
    </w:p>
    <w:p>
      <w:pPr>
        <w:pStyle w:val="插入文本样式-插入单位职责文件"/>
      </w:pPr>
      <w:r>
        <w:t xml:space="preserve">(二)宣传、执行区委和上级团组织的决定和指示，发挥团员模范作用，为本区的改革开放和现代建设作贡献。</w:t>
      </w:r>
    </w:p>
    <w:p>
      <w:pPr>
        <w:pStyle w:val="插入文本样式-插入单位职责文件"/>
      </w:pPr>
      <w:r>
        <w:t xml:space="preserve">(三)了解本区团员青年的思想，维护他们的权益，关心他们的学习、工作、生活和休息，开展文化、娱乐、体育活动。</w:t>
      </w:r>
    </w:p>
    <w:p>
      <w:pPr>
        <w:pStyle w:val="插入文本样式-插入单位职责文件"/>
      </w:pPr>
      <w:r>
        <w:t xml:space="preserve">(四)作好本区团的基础性工作，如团员教育、团员发展、团费收缴等。</w:t>
      </w:r>
    </w:p>
    <w:p>
      <w:pPr>
        <w:pStyle w:val="插入文本样式-插入单位职责文件"/>
      </w:pPr>
      <w:r>
        <w:t xml:space="preserve">(五)积极组织本区团员青年和少先队员创造性地开展活动，搞好搞活团、队工作。</w:t>
      </w:r>
    </w:p>
    <w:p>
      <w:pPr>
        <w:pStyle w:val="插入文本样式-插入单位职责文件"/>
      </w:pPr>
      <w:r>
        <w:t xml:space="preserve">(六）积极组织团员青年和少先队员参与本区精神文明创建活动。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共青团新华区委员会（本级）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38.64万元，其中：一般公共预算收入38.64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共青团新华区委员会（本级）年度单位预算中支出预算的总体情况。2026年支出预算38.64万元，其中基本支出35.64万元，包括人员经费32.41万元和日常公用经费3.23万元；项目支出3.00万元，主要为组织建设和宣传教育经费、预防青少年违法犯罪经费、青年发展经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2026年预算收支安排38.64万元，较2025年预算减少16.58万元，其中：基本支出减少16.58万元，主要为人员调出，人员经费减少项目支出增加0.00万元，主要为无。预计下年使用的单位资金结余增加0.00万元。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2026年，我单位机关运行经费共计安排3.23万元，主要用于日常维修、办公用房水电费、办公用房取暖费、办公用房物业管理费等日常运行支出。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0.02万元，其中因公出国（境）费0.00万元；公务用车购置及运维费0.00万元（其中：公务用车购置费为0.00万元，公务用车运维费0.00万元)；公务接待费0.02万元。与2025年相比增加0.00万元，增减变化的主要原因是无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1、青年发展绩效目标表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13010526P00001410368C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青年发展</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用于加强青年人才队伍建设，加强青年心理健康教育和服务。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0.25</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1.加强青年理想信念教育，在青年中培育和践行社会主义核心价值观，强化网上思想引领。</w:t>
            </w:r>
            <w:r>
              <w:tab/>
            </w:r>
            <w:r>
              <w:tab/>
            </w:r>
          </w:p>
          <w:p>
            <w:pPr>
              <w:pStyle w:val="单元格样式2"/>
            </w:pPr>
            <w:r>
              <w:t xml:space="preserve">健全党领导下的以共青团为主导的青年组织体系，着力促进不同青年群体更好实现社会融入交流融合，引领青年有序参与政治生活和社会公共事务。</w:t>
            </w:r>
            <w:r>
              <w:tab/>
            </w:r>
            <w:r>
              <w:tab/>
            </w:r>
          </w:p>
          <w:p>
            <w:pPr>
              <w:pStyle w:val="单元格样式2"/>
            </w:pPr>
            <w:r>
              <w:t xml:space="preserve">促进教育均衡发展，提升实践育人成效，加强青年人才队伍建设，加强青年心理健康教育和服务。</w:t>
            </w:r>
            <w:r>
              <w:tab/>
            </w:r>
            <w:r>
              <w:tab/>
            </w:r>
          </w:p>
          <w:p>
            <w:pPr>
              <w:pStyle w:val="单元格样式2"/>
            </w:pPr>
            <w:r>
              <w:t xml:space="preserve">引导职业青年立足岗位创优。</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社会实践活动参与人数</w:t>
            </w:r>
          </w:p>
        </w:tc>
        <w:tc>
          <w:tcPr>
            <w:tcW w:w="5386" w:type="dxa"/>
            <w:vAlign w:val="center"/>
          </w:tcPr>
          <w:p>
            <w:pPr>
              <w:pStyle w:val="单元格样式2"/>
            </w:pPr>
            <w:r>
              <w:t xml:space="preserve">社会实践活动参与人数</w:t>
            </w:r>
          </w:p>
        </w:tc>
        <w:tc>
          <w:tcPr>
            <w:tcW w:w="2268" w:type="dxa"/>
            <w:vAlign w:val="center"/>
          </w:tcPr>
          <w:p>
            <w:pPr>
              <w:pStyle w:val="单元格样式2"/>
            </w:pPr>
            <w:r>
              <w:t xml:space="preserve">≥100人</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调研、联谊等青年活动的完成率</w:t>
            </w:r>
          </w:p>
        </w:tc>
        <w:tc>
          <w:tcPr>
            <w:tcW w:w="5386" w:type="dxa"/>
            <w:vAlign w:val="center"/>
          </w:tcPr>
          <w:p>
            <w:pPr>
              <w:pStyle w:val="单元格样式2"/>
            </w:pPr>
            <w:r>
              <w:t xml:space="preserve">与青年发展相关的活动完成程度和情况</w:t>
            </w:r>
          </w:p>
        </w:tc>
        <w:tc>
          <w:tcPr>
            <w:tcW w:w="2268" w:type="dxa"/>
            <w:vAlign w:val="center"/>
          </w:tcPr>
          <w:p>
            <w:pPr>
              <w:pStyle w:val="单元格样式2"/>
            </w:pPr>
            <w:r>
              <w:t xml:space="preserve">≥80%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及时召开青年与人大代表、政协委员面对面活动</w:t>
            </w:r>
          </w:p>
        </w:tc>
        <w:tc>
          <w:tcPr>
            <w:tcW w:w="5386" w:type="dxa"/>
            <w:vAlign w:val="center"/>
          </w:tcPr>
          <w:p>
            <w:pPr>
              <w:pStyle w:val="单元格样式2"/>
            </w:pPr>
            <w:r>
              <w:t xml:space="preserve">及时召开青年与人大代表、政协委员面对面活动</w:t>
            </w:r>
          </w:p>
        </w:tc>
        <w:tc>
          <w:tcPr>
            <w:tcW w:w="2268" w:type="dxa"/>
            <w:vAlign w:val="center"/>
          </w:tcPr>
          <w:p>
            <w:pPr>
              <w:pStyle w:val="单元格样式2"/>
            </w:pPr>
            <w:r>
              <w:t xml:space="preserve">年底前召开</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在预算内完成工作</w:t>
            </w:r>
          </w:p>
        </w:tc>
        <w:tc>
          <w:tcPr>
            <w:tcW w:w="5386" w:type="dxa"/>
            <w:vAlign w:val="center"/>
          </w:tcPr>
          <w:p>
            <w:pPr>
              <w:pStyle w:val="单元格样式2"/>
            </w:pPr>
            <w:r>
              <w:t xml:space="preserve">在预算内完成工作</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联谊交友、志愿服务等活动的开展场次及效果</w:t>
            </w:r>
          </w:p>
        </w:tc>
        <w:tc>
          <w:tcPr>
            <w:tcW w:w="5386" w:type="dxa"/>
            <w:vAlign w:val="center"/>
          </w:tcPr>
          <w:p>
            <w:pPr>
              <w:pStyle w:val="单元格样式2"/>
            </w:pPr>
            <w:r>
              <w:t xml:space="preserve">相关活动场次</w:t>
            </w:r>
          </w:p>
          <w:p>
            <w:pPr>
              <w:pStyle w:val="单元格样式2"/>
            </w:pPr>
          </w:p>
        </w:tc>
        <w:tc>
          <w:tcPr>
            <w:tcW w:w="2268" w:type="dxa"/>
            <w:vAlign w:val="center"/>
          </w:tcPr>
          <w:p>
            <w:pPr>
              <w:pStyle w:val="单元格样式2"/>
            </w:pPr>
            <w:r>
              <w:t xml:space="preserve">≥10场</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青年满意度</w:t>
            </w:r>
          </w:p>
        </w:tc>
        <w:tc>
          <w:tcPr>
            <w:tcW w:w="5386" w:type="dxa"/>
            <w:vAlign w:val="center"/>
          </w:tcPr>
          <w:p>
            <w:pPr>
              <w:pStyle w:val="单元格样式2"/>
            </w:pPr>
            <w:r>
              <w:t xml:space="preserve">青年满意度</w:t>
            </w:r>
          </w:p>
        </w:tc>
        <w:tc>
          <w:tcPr>
            <w:tcW w:w="2268" w:type="dxa"/>
            <w:vAlign w:val="center"/>
          </w:tcPr>
          <w:p>
            <w:pPr>
              <w:pStyle w:val="单元格样式2"/>
            </w:pPr>
            <w:r>
              <w:t xml:space="preserve">≥70%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2、预防青少年犯罪绩效目标表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13010526P000014103690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预防青少年犯罪</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用于推动青少年事务社会工作开展；提高源头治理力度，做好预防青少年违法犯罪工作；做好青少年法治宣传教育工作。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0.25</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1.构建和完善维护青少年发展权益的机制化、社会化、专业化工作体系。</w:t>
            </w:r>
          </w:p>
          <w:p>
            <w:pPr>
              <w:pStyle w:val="单元格样式2"/>
            </w:pPr>
            <w:r>
              <w:t xml:space="preserve">推动青少年事务社会工作开展；提高源头治理力度，做好预防青少年违法犯罪工作；做好青少年法治宣传教育工作。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组织青少年法制宣传教育参与人数</w:t>
            </w:r>
          </w:p>
        </w:tc>
        <w:tc>
          <w:tcPr>
            <w:tcW w:w="5386" w:type="dxa"/>
            <w:vAlign w:val="center"/>
          </w:tcPr>
          <w:p>
            <w:pPr>
              <w:pStyle w:val="单元格样式2"/>
            </w:pPr>
            <w:r>
              <w:t xml:space="preserve">组织青少年法制宣传教育参与人数</w:t>
            </w:r>
          </w:p>
        </w:tc>
        <w:tc>
          <w:tcPr>
            <w:tcW w:w="2268" w:type="dxa"/>
            <w:vAlign w:val="center"/>
          </w:tcPr>
          <w:p>
            <w:pPr>
              <w:pStyle w:val="单元格样式2"/>
            </w:pPr>
            <w:r>
              <w:t xml:space="preserve">≥60人</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青少年自护夏令营开展情况</w:t>
            </w:r>
          </w:p>
        </w:tc>
        <w:tc>
          <w:tcPr>
            <w:tcW w:w="5386" w:type="dxa"/>
            <w:vAlign w:val="center"/>
          </w:tcPr>
          <w:p>
            <w:pPr>
              <w:pStyle w:val="单元格样式2"/>
            </w:pPr>
            <w:r>
              <w:t xml:space="preserve">青少年自护夏令营开展情况</w:t>
            </w:r>
          </w:p>
        </w:tc>
        <w:tc>
          <w:tcPr>
            <w:tcW w:w="2268" w:type="dxa"/>
            <w:vAlign w:val="center"/>
          </w:tcPr>
          <w:p>
            <w:pPr>
              <w:pStyle w:val="单元格样式2"/>
            </w:pPr>
            <w:r>
              <w:t xml:space="preserve">≥50人</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预防青少年犯罪活动开展的及时性</w:t>
            </w:r>
          </w:p>
        </w:tc>
        <w:tc>
          <w:tcPr>
            <w:tcW w:w="5386" w:type="dxa"/>
            <w:vAlign w:val="center"/>
          </w:tcPr>
          <w:p>
            <w:pPr>
              <w:pStyle w:val="单元格样式2"/>
            </w:pPr>
            <w:r>
              <w:t xml:space="preserve">预防青少年犯罪活动开展的及时性</w:t>
            </w:r>
          </w:p>
        </w:tc>
        <w:tc>
          <w:tcPr>
            <w:tcW w:w="2268" w:type="dxa"/>
            <w:vAlign w:val="center"/>
          </w:tcPr>
          <w:p>
            <w:pPr>
              <w:pStyle w:val="单元格样式2"/>
            </w:pPr>
            <w:r>
              <w:t xml:space="preserve">及时开展</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在预算内活动完成情况</w:t>
            </w:r>
          </w:p>
        </w:tc>
        <w:tc>
          <w:tcPr>
            <w:tcW w:w="5386" w:type="dxa"/>
            <w:vAlign w:val="center"/>
          </w:tcPr>
          <w:p>
            <w:pPr>
              <w:pStyle w:val="单元格样式2"/>
            </w:pPr>
            <w:r>
              <w:t xml:space="preserve">在预算内活动完成情况</w:t>
            </w:r>
          </w:p>
        </w:tc>
        <w:tc>
          <w:tcPr>
            <w:tcW w:w="2268" w:type="dxa"/>
            <w:vAlign w:val="center"/>
          </w:tcPr>
          <w:p>
            <w:pPr>
              <w:pStyle w:val="单元格样式2"/>
            </w:pPr>
            <w:r>
              <w:t xml:space="preserve">≤100%</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预防青少年犯罪活动开展情况</w:t>
            </w:r>
          </w:p>
        </w:tc>
        <w:tc>
          <w:tcPr>
            <w:tcW w:w="5386" w:type="dxa"/>
            <w:vAlign w:val="center"/>
          </w:tcPr>
          <w:p>
            <w:pPr>
              <w:pStyle w:val="单元格样式2"/>
            </w:pPr>
            <w:r>
              <w:t xml:space="preserve">预防青少年犯罪活动开展情况</w:t>
            </w:r>
          </w:p>
        </w:tc>
        <w:tc>
          <w:tcPr>
            <w:tcW w:w="2268" w:type="dxa"/>
            <w:vAlign w:val="center"/>
          </w:tcPr>
          <w:p>
            <w:pPr>
              <w:pStyle w:val="单元格样式2"/>
            </w:pPr>
            <w:r>
              <w:t xml:space="preserve">≥100人</w:t>
            </w:r>
          </w:p>
        </w:tc>
        <w:tc>
          <w:tcPr>
            <w:tcW w:w="1276" w:type="dxa"/>
            <w:vAlign w:val="center"/>
          </w:tcPr>
          <w:p>
            <w:pPr>
              <w:pStyle w:val="单元格样式2"/>
            </w:pPr>
            <w:r>
              <w:t xml:space="preserve">根据相关要求</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青少年满意度</w:t>
            </w:r>
          </w:p>
        </w:tc>
        <w:tc>
          <w:tcPr>
            <w:tcW w:w="5386" w:type="dxa"/>
            <w:vAlign w:val="center"/>
          </w:tcPr>
          <w:p>
            <w:pPr>
              <w:pStyle w:val="单元格样式2"/>
            </w:pPr>
            <w:r>
              <w:t xml:space="preserve">青少年满意度</w:t>
            </w:r>
          </w:p>
        </w:tc>
        <w:tc>
          <w:tcPr>
            <w:tcW w:w="2268" w:type="dxa"/>
            <w:vAlign w:val="center"/>
          </w:tcPr>
          <w:p>
            <w:pPr>
              <w:pStyle w:val="单元格样式2"/>
            </w:pPr>
            <w:r>
              <w:t xml:space="preserve">≥70%</w:t>
            </w:r>
          </w:p>
        </w:tc>
        <w:tc>
          <w:tcPr>
            <w:tcW w:w="1276" w:type="dxa"/>
            <w:vAlign w:val="center"/>
          </w:tcPr>
          <w:p>
            <w:pPr>
              <w:pStyle w:val="单元格样式2"/>
            </w:pPr>
            <w:r>
              <w:t xml:space="preserve">根据相关要求</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3、组织建设和宣传教育绩效目标表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13010526P00001410371Y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组织建设和宣传教育</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用于领导全区共青团、少先队工作</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0.50</w:t>
            </w:r>
          </w:p>
        </w:tc>
        <w:tc>
          <w:tcPr>
            <w:tcW w:w="2835" w:type="dxa"/>
            <w:vAlign w:val="center"/>
          </w:tcPr>
          <w:p>
            <w:pPr>
              <w:pStyle w:val="单元格样式3"/>
            </w:pPr>
            <w:r>
              <w:t xml:space="preserve">1.00</w:t>
            </w:r>
          </w:p>
        </w:tc>
        <w:tc>
          <w:tcPr>
            <w:tcW w:w="2551" w:type="dxa"/>
            <w:vAlign w:val="center"/>
          </w:tcPr>
          <w:p>
            <w:pPr>
              <w:pStyle w:val="单元格样式3"/>
            </w:pPr>
            <w:r>
              <w:t xml:space="preserve">1.50</w:t>
            </w:r>
          </w:p>
        </w:tc>
        <w:tc>
          <w:tcPr>
            <w:tcW w:w="3544" w:type="dxa"/>
            <w:gridSpan w:val="2"/>
            <w:vAlign w:val="center"/>
          </w:tcPr>
          <w:p>
            <w:pPr>
              <w:pStyle w:val="单元格样式3"/>
            </w:pPr>
            <w:r>
              <w:t xml:space="preserve">2.00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1.各基层团组织和青年组织建设加强，活力明显提升，基层团组织服务能力不断提高。</w:t>
            </w:r>
            <w:r>
              <w:tab/>
            </w:r>
            <w:r>
              <w:tab/>
            </w:r>
          </w:p>
          <w:p>
            <w:pPr>
              <w:pStyle w:val="单元格样式2"/>
            </w:pPr>
            <w:r>
              <w:t xml:space="preserve">强化团干部教育培训，加强思想和作风建设。</w:t>
            </w:r>
            <w:r>
              <w:tab/>
            </w:r>
            <w:r>
              <w:tab/>
            </w:r>
          </w:p>
          <w:p>
            <w:pPr>
              <w:pStyle w:val="单元格样式2"/>
            </w:pPr>
            <w:r>
              <w:t xml:space="preserve">加强少工委组织建设。</w:t>
            </w:r>
            <w:r>
              <w:tab/>
            </w:r>
            <w:r>
              <w:tab/>
            </w:r>
          </w:p>
          <w:p>
            <w:pPr>
              <w:pStyle w:val="单元格样式2"/>
            </w:pPr>
            <w:r>
              <w:t xml:space="preserve">加强青年志愿组织和青年社会组织及青少年活动阵地的指导和管理。</w:t>
            </w:r>
            <w:r>
              <w:tab/>
            </w:r>
            <w:r>
              <w:tab/>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培训团组织和少先队工作者人数</w:t>
            </w:r>
          </w:p>
        </w:tc>
        <w:tc>
          <w:tcPr>
            <w:tcW w:w="5386" w:type="dxa"/>
            <w:vAlign w:val="center"/>
          </w:tcPr>
          <w:p>
            <w:pPr>
              <w:pStyle w:val="单元格样式2"/>
            </w:pPr>
            <w:r>
              <w:t xml:space="preserve">培训团组织和少先队工作者人数</w:t>
            </w:r>
          </w:p>
        </w:tc>
        <w:tc>
          <w:tcPr>
            <w:tcW w:w="2268" w:type="dxa"/>
            <w:vAlign w:val="center"/>
          </w:tcPr>
          <w:p>
            <w:pPr>
              <w:pStyle w:val="单元格样式2"/>
            </w:pPr>
            <w:r>
              <w:t xml:space="preserve">≥100人</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团属阵地标准化建设比例</w:t>
            </w:r>
          </w:p>
        </w:tc>
        <w:tc>
          <w:tcPr>
            <w:tcW w:w="5386" w:type="dxa"/>
            <w:vAlign w:val="center"/>
          </w:tcPr>
          <w:p>
            <w:pPr>
              <w:pStyle w:val="单元格样式2"/>
            </w:pPr>
            <w:r>
              <w:t xml:space="preserve">团属阵地标准化建设比例</w:t>
            </w:r>
          </w:p>
        </w:tc>
        <w:tc>
          <w:tcPr>
            <w:tcW w:w="2268" w:type="dxa"/>
            <w:vAlign w:val="center"/>
          </w:tcPr>
          <w:p>
            <w:pPr>
              <w:pStyle w:val="单元格样式2"/>
            </w:pPr>
            <w:r>
              <w:t xml:space="preserve">≥70%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新发展团员录入工作</w:t>
            </w:r>
          </w:p>
        </w:tc>
        <w:tc>
          <w:tcPr>
            <w:tcW w:w="5386" w:type="dxa"/>
            <w:vAlign w:val="center"/>
          </w:tcPr>
          <w:p>
            <w:pPr>
              <w:pStyle w:val="单元格样式2"/>
            </w:pPr>
            <w:r>
              <w:t xml:space="preserve">按期完成新发展团员录入工作</w:t>
            </w:r>
          </w:p>
        </w:tc>
        <w:tc>
          <w:tcPr>
            <w:tcW w:w="2268" w:type="dxa"/>
            <w:vAlign w:val="center"/>
          </w:tcPr>
          <w:p>
            <w:pPr>
              <w:pStyle w:val="单元格样式2"/>
            </w:pPr>
            <w:r>
              <w:t xml:space="preserve">年底前完成</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在预算内完成阵地建设和宣传引导等工作</w:t>
            </w:r>
          </w:p>
        </w:tc>
        <w:tc>
          <w:tcPr>
            <w:tcW w:w="5386" w:type="dxa"/>
            <w:vAlign w:val="center"/>
          </w:tcPr>
          <w:p>
            <w:pPr>
              <w:pStyle w:val="单元格样式2"/>
            </w:pPr>
            <w:r>
              <w:t xml:space="preserve">在预算内完成阵地建设和宣传引导等工作</w:t>
            </w:r>
          </w:p>
        </w:tc>
        <w:tc>
          <w:tcPr>
            <w:tcW w:w="2268" w:type="dxa"/>
            <w:vAlign w:val="center"/>
          </w:tcPr>
          <w:p>
            <w:pPr>
              <w:pStyle w:val="单元格样式2"/>
            </w:pPr>
            <w:r>
              <w:t xml:space="preserve">≤100%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各类组织建设规范化程度</w:t>
            </w:r>
          </w:p>
        </w:tc>
        <w:tc>
          <w:tcPr>
            <w:tcW w:w="5386" w:type="dxa"/>
            <w:vAlign w:val="center"/>
          </w:tcPr>
          <w:p>
            <w:pPr>
              <w:pStyle w:val="单元格样式2"/>
            </w:pPr>
            <w:r>
              <w:t xml:space="preserve">各类组织建设规范化程度</w:t>
            </w:r>
          </w:p>
        </w:tc>
        <w:tc>
          <w:tcPr>
            <w:tcW w:w="2268" w:type="dxa"/>
            <w:vAlign w:val="center"/>
          </w:tcPr>
          <w:p>
            <w:pPr>
              <w:pStyle w:val="单元格样式2"/>
            </w:pPr>
            <w:r>
              <w:t xml:space="preserve">≥70%</w:t>
            </w:r>
          </w:p>
        </w:tc>
        <w:tc>
          <w:tcPr>
            <w:tcW w:w="1276" w:type="dxa"/>
            <w:vAlign w:val="center"/>
          </w:tcPr>
          <w:p>
            <w:pPr>
              <w:pStyle w:val="单元格样式2"/>
            </w:pPr>
            <w:r>
              <w:t xml:space="preserve">相关文件</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青少年满意度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≥70%</w:t>
            </w:r>
          </w:p>
        </w:tc>
        <w:tc>
          <w:tcPr>
            <w:tcW w:w="1276" w:type="dxa"/>
            <w:vAlign w:val="center"/>
          </w:tcPr>
          <w:p>
            <w:pPr>
              <w:pStyle w:val="单元格样式2"/>
            </w:pPr>
            <w:r>
              <w:t xml:space="preserve">相关文件</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共青团新华区委员会（本级）上年末固定资产金额为7.05万元（详见下表）。本年度拟购置固定资产总额为0.00万元，已按要求列入政府采购预算，详见政府采购预算表。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712001共青团新华区委员会（本级）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7.05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50</w:t>
            </w:r>
          </w:p>
        </w:tc>
        <w:tc>
          <w:tcPr>
            <w:tcW w:w="2835" w:type="dxa"/>
            <w:vAlign w:val="center"/>
          </w:tcPr>
          <w:p>
            <w:pPr>
              <w:pStyle w:val="单元格样式4"/>
            </w:pPr>
            <w:r>
              <w:t xml:space="preserve">7.05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24</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2026-03-03T14:53:38Z</dcterms:created>
  <dcterms:modified xsi:type="dcterms:W3CDTF">2026-03-03T14:53:38Z</dcterms:modified>
</cp:coreProperties>
</file>