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712共青团新华区委员会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38.64</w:t>
            </w:r>
          </w:p>
        </w:tc>
        <w:tc>
          <w:tcPr>
            <w:tcW w:w="4535" w:type="dxa"/>
            <w:vAlign w:val="center"/>
          </w:tcPr>
          <w:p>
            <w:pPr>
              <w:pStyle w:val="13"/>
            </w:pPr>
            <w:r>
              <w:t>一、一般公共服务支出</w:t>
            </w:r>
          </w:p>
        </w:tc>
        <w:tc>
          <w:tcPr>
            <w:tcW w:w="2126" w:type="dxa"/>
            <w:vAlign w:val="center"/>
          </w:tcPr>
          <w:p>
            <w:pPr>
              <w:pStyle w:val="12"/>
            </w:pPr>
            <w:r>
              <w:t>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38.64</w:t>
            </w:r>
          </w:p>
        </w:tc>
        <w:tc>
          <w:tcPr>
            <w:tcW w:w="4535" w:type="dxa"/>
            <w:vAlign w:val="center"/>
          </w:tcPr>
          <w:p>
            <w:pPr>
              <w:pStyle w:val="15"/>
            </w:pPr>
            <w:r>
              <w:t>本年支出合计</w:t>
            </w:r>
          </w:p>
        </w:tc>
        <w:tc>
          <w:tcPr>
            <w:tcW w:w="2126" w:type="dxa"/>
            <w:vAlign w:val="center"/>
          </w:tcPr>
          <w:p>
            <w:pPr>
              <w:pStyle w:val="16"/>
            </w:pPr>
            <w:r>
              <w:t>38.64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38.64</w:t>
            </w:r>
          </w:p>
        </w:tc>
        <w:tc>
          <w:tcPr>
            <w:tcW w:w="4535" w:type="dxa"/>
            <w:vAlign w:val="center"/>
          </w:tcPr>
          <w:p>
            <w:pPr>
              <w:pStyle w:val="15"/>
            </w:pPr>
            <w:r>
              <w:t>支出总计</w:t>
            </w:r>
          </w:p>
        </w:tc>
        <w:tc>
          <w:tcPr>
            <w:tcW w:w="2126" w:type="dxa"/>
            <w:vAlign w:val="center"/>
          </w:tcPr>
          <w:p>
            <w:pPr>
              <w:pStyle w:val="16"/>
            </w:pPr>
            <w:r>
              <w:t>38.64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712共青团新华区委员会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38.64</w:t>
            </w:r>
          </w:p>
        </w:tc>
        <w:tc>
          <w:tcPr>
            <w:tcW w:w="1134" w:type="dxa"/>
            <w:vAlign w:val="center"/>
          </w:tcPr>
          <w:p>
            <w:pPr>
              <w:pStyle w:val="16"/>
            </w:pPr>
            <w:r>
              <w:t>38.64</w:t>
            </w:r>
          </w:p>
        </w:tc>
        <w:tc>
          <w:tcPr>
            <w:tcW w:w="1134" w:type="dxa"/>
            <w:vAlign w:val="center"/>
          </w:tcPr>
          <w:p>
            <w:pPr>
              <w:pStyle w:val="16"/>
            </w:pPr>
            <w:r>
              <w:t>38.64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37.71</w:t>
            </w:r>
          </w:p>
        </w:tc>
        <w:tc>
          <w:tcPr>
            <w:tcW w:w="1134" w:type="dxa"/>
            <w:vAlign w:val="center"/>
          </w:tcPr>
          <w:p>
            <w:pPr>
              <w:pStyle w:val="12"/>
            </w:pPr>
            <w:r>
              <w:t>37.71</w:t>
            </w:r>
          </w:p>
        </w:tc>
        <w:tc>
          <w:tcPr>
            <w:tcW w:w="1134" w:type="dxa"/>
            <w:vAlign w:val="center"/>
          </w:tcPr>
          <w:p>
            <w:pPr>
              <w:pStyle w:val="12"/>
            </w:pPr>
            <w:r>
              <w:t>37.71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37.71</w:t>
            </w:r>
          </w:p>
        </w:tc>
        <w:tc>
          <w:tcPr>
            <w:tcW w:w="1134" w:type="dxa"/>
            <w:vAlign w:val="center"/>
          </w:tcPr>
          <w:p>
            <w:pPr>
              <w:pStyle w:val="12"/>
            </w:pPr>
            <w:r>
              <w:t>37.71</w:t>
            </w:r>
          </w:p>
        </w:tc>
        <w:tc>
          <w:tcPr>
            <w:tcW w:w="1134" w:type="dxa"/>
            <w:vAlign w:val="center"/>
          </w:tcPr>
          <w:p>
            <w:pPr>
              <w:pStyle w:val="12"/>
            </w:pPr>
            <w:r>
              <w:t>37.71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37.71</w:t>
            </w:r>
          </w:p>
        </w:tc>
        <w:tc>
          <w:tcPr>
            <w:tcW w:w="1134" w:type="dxa"/>
            <w:vAlign w:val="center"/>
          </w:tcPr>
          <w:p>
            <w:pPr>
              <w:pStyle w:val="12"/>
            </w:pPr>
            <w:r>
              <w:t>37.71</w:t>
            </w:r>
          </w:p>
        </w:tc>
        <w:tc>
          <w:tcPr>
            <w:tcW w:w="1134" w:type="dxa"/>
            <w:vAlign w:val="center"/>
          </w:tcPr>
          <w:p>
            <w:pPr>
              <w:pStyle w:val="12"/>
            </w:pPr>
            <w:r>
              <w:t>37.71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712共青团新华区委员会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38.64</w:t>
            </w:r>
          </w:p>
        </w:tc>
        <w:tc>
          <w:tcPr>
            <w:tcW w:w="1361" w:type="dxa"/>
            <w:vAlign w:val="center"/>
          </w:tcPr>
          <w:p>
            <w:pPr>
              <w:pStyle w:val="16"/>
            </w:pPr>
            <w:r>
              <w:t>35.64</w:t>
            </w:r>
          </w:p>
        </w:tc>
        <w:tc>
          <w:tcPr>
            <w:tcW w:w="1361" w:type="dxa"/>
            <w:vAlign w:val="center"/>
          </w:tcPr>
          <w:p>
            <w:pPr>
              <w:pStyle w:val="16"/>
            </w:pPr>
            <w:r>
              <w:t>3.00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37.71</w:t>
            </w:r>
          </w:p>
        </w:tc>
        <w:tc>
          <w:tcPr>
            <w:tcW w:w="1361" w:type="dxa"/>
            <w:vAlign w:val="center"/>
          </w:tcPr>
          <w:p>
            <w:pPr>
              <w:pStyle w:val="12"/>
            </w:pPr>
            <w:r>
              <w:t>34.71</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37.71</w:t>
            </w:r>
          </w:p>
        </w:tc>
        <w:tc>
          <w:tcPr>
            <w:tcW w:w="1361" w:type="dxa"/>
            <w:vAlign w:val="center"/>
          </w:tcPr>
          <w:p>
            <w:pPr>
              <w:pStyle w:val="12"/>
            </w:pPr>
            <w:r>
              <w:t>34.71</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37.71</w:t>
            </w:r>
          </w:p>
        </w:tc>
        <w:tc>
          <w:tcPr>
            <w:tcW w:w="1361" w:type="dxa"/>
            <w:vAlign w:val="center"/>
          </w:tcPr>
          <w:p>
            <w:pPr>
              <w:pStyle w:val="12"/>
            </w:pPr>
            <w:r>
              <w:t>34.71</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0.93</w:t>
            </w:r>
          </w:p>
        </w:tc>
        <w:tc>
          <w:tcPr>
            <w:tcW w:w="1361" w:type="dxa"/>
            <w:vAlign w:val="center"/>
          </w:tcPr>
          <w:p>
            <w:pPr>
              <w:pStyle w:val="12"/>
            </w:pPr>
            <w:r>
              <w:t>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0.93</w:t>
            </w:r>
          </w:p>
        </w:tc>
        <w:tc>
          <w:tcPr>
            <w:tcW w:w="1361" w:type="dxa"/>
            <w:vAlign w:val="center"/>
          </w:tcPr>
          <w:p>
            <w:pPr>
              <w:pStyle w:val="12"/>
            </w:pPr>
            <w:r>
              <w:t>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0.93</w:t>
            </w:r>
          </w:p>
        </w:tc>
        <w:tc>
          <w:tcPr>
            <w:tcW w:w="1361" w:type="dxa"/>
            <w:vAlign w:val="center"/>
          </w:tcPr>
          <w:p>
            <w:pPr>
              <w:pStyle w:val="12"/>
            </w:pPr>
            <w:r>
              <w:t>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712共青团新华区委员会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38.64</w:t>
            </w:r>
          </w:p>
        </w:tc>
        <w:tc>
          <w:tcPr>
            <w:tcW w:w="3402" w:type="dxa"/>
            <w:vAlign w:val="center"/>
          </w:tcPr>
          <w:p>
            <w:pPr>
              <w:pStyle w:val="13"/>
            </w:pPr>
            <w:r>
              <w:t>一、一般公共服务支出</w:t>
            </w:r>
          </w:p>
        </w:tc>
        <w:tc>
          <w:tcPr>
            <w:tcW w:w="1474" w:type="dxa"/>
            <w:vAlign w:val="center"/>
          </w:tcPr>
          <w:p>
            <w:pPr>
              <w:pStyle w:val="12"/>
            </w:pPr>
            <w:r>
              <w:t>37.71</w:t>
            </w:r>
          </w:p>
        </w:tc>
        <w:tc>
          <w:tcPr>
            <w:tcW w:w="1474" w:type="dxa"/>
            <w:vAlign w:val="center"/>
          </w:tcPr>
          <w:p>
            <w:pPr>
              <w:pStyle w:val="12"/>
            </w:pPr>
            <w:r>
              <w:t>37.71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0.93</w:t>
            </w:r>
          </w:p>
        </w:tc>
        <w:tc>
          <w:tcPr>
            <w:tcW w:w="1474" w:type="dxa"/>
            <w:vAlign w:val="center"/>
          </w:tcPr>
          <w:p>
            <w:pPr>
              <w:pStyle w:val="12"/>
            </w:pPr>
            <w:r>
              <w:t>0.93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38.64</w:t>
            </w:r>
          </w:p>
        </w:tc>
        <w:tc>
          <w:tcPr>
            <w:tcW w:w="3402" w:type="dxa"/>
            <w:vAlign w:val="center"/>
          </w:tcPr>
          <w:p>
            <w:pPr>
              <w:pStyle w:val="15"/>
            </w:pPr>
            <w:r>
              <w:t>本年支出合计</w:t>
            </w:r>
          </w:p>
        </w:tc>
        <w:tc>
          <w:tcPr>
            <w:tcW w:w="1474" w:type="dxa"/>
            <w:vAlign w:val="center"/>
          </w:tcPr>
          <w:p>
            <w:pPr>
              <w:pStyle w:val="16"/>
            </w:pPr>
            <w:r>
              <w:t>38.64</w:t>
            </w:r>
          </w:p>
        </w:tc>
        <w:tc>
          <w:tcPr>
            <w:tcW w:w="1474" w:type="dxa"/>
            <w:vAlign w:val="center"/>
          </w:tcPr>
          <w:p>
            <w:pPr>
              <w:pStyle w:val="16"/>
            </w:pPr>
            <w:r>
              <w:t>38.64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38.64</w:t>
            </w:r>
          </w:p>
        </w:tc>
        <w:tc>
          <w:tcPr>
            <w:tcW w:w="3402" w:type="dxa"/>
            <w:vAlign w:val="center"/>
          </w:tcPr>
          <w:p>
            <w:pPr>
              <w:pStyle w:val="15"/>
            </w:pPr>
            <w:r>
              <w:t>支出总计</w:t>
            </w:r>
          </w:p>
        </w:tc>
        <w:tc>
          <w:tcPr>
            <w:tcW w:w="1474" w:type="dxa"/>
            <w:vAlign w:val="center"/>
          </w:tcPr>
          <w:p>
            <w:pPr>
              <w:pStyle w:val="16"/>
            </w:pPr>
            <w:r>
              <w:t>38.64</w:t>
            </w:r>
          </w:p>
        </w:tc>
        <w:tc>
          <w:tcPr>
            <w:tcW w:w="1474" w:type="dxa"/>
            <w:vAlign w:val="center"/>
          </w:tcPr>
          <w:p>
            <w:pPr>
              <w:pStyle w:val="16"/>
            </w:pPr>
            <w:r>
              <w:t>38.64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712共青团新华区委员会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38.64</w:t>
            </w:r>
          </w:p>
        </w:tc>
        <w:tc>
          <w:tcPr>
            <w:tcW w:w="2551" w:type="dxa"/>
            <w:vAlign w:val="center"/>
          </w:tcPr>
          <w:p>
            <w:pPr>
              <w:pStyle w:val="16"/>
            </w:pPr>
            <w:r>
              <w:t>35.64</w:t>
            </w:r>
          </w:p>
        </w:tc>
        <w:tc>
          <w:tcPr>
            <w:tcW w:w="2551"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37.71</w:t>
            </w:r>
          </w:p>
        </w:tc>
        <w:tc>
          <w:tcPr>
            <w:tcW w:w="2551" w:type="dxa"/>
            <w:vAlign w:val="center"/>
          </w:tcPr>
          <w:p>
            <w:pPr>
              <w:pStyle w:val="12"/>
            </w:pPr>
            <w:r>
              <w:t>34.71</w:t>
            </w: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37.71</w:t>
            </w:r>
          </w:p>
        </w:tc>
        <w:tc>
          <w:tcPr>
            <w:tcW w:w="2551" w:type="dxa"/>
            <w:vAlign w:val="center"/>
          </w:tcPr>
          <w:p>
            <w:pPr>
              <w:pStyle w:val="12"/>
            </w:pPr>
            <w:r>
              <w:t>34.71</w:t>
            </w: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37.71</w:t>
            </w:r>
          </w:p>
        </w:tc>
        <w:tc>
          <w:tcPr>
            <w:tcW w:w="2551" w:type="dxa"/>
            <w:vAlign w:val="center"/>
          </w:tcPr>
          <w:p>
            <w:pPr>
              <w:pStyle w:val="12"/>
            </w:pPr>
            <w:r>
              <w:t>34.71</w:t>
            </w: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0.93</w:t>
            </w:r>
          </w:p>
        </w:tc>
        <w:tc>
          <w:tcPr>
            <w:tcW w:w="2551" w:type="dxa"/>
            <w:vAlign w:val="center"/>
          </w:tcPr>
          <w:p>
            <w:pPr>
              <w:pStyle w:val="12"/>
            </w:pPr>
            <w:r>
              <w:t>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0.93</w:t>
            </w:r>
          </w:p>
        </w:tc>
        <w:tc>
          <w:tcPr>
            <w:tcW w:w="2551" w:type="dxa"/>
            <w:vAlign w:val="center"/>
          </w:tcPr>
          <w:p>
            <w:pPr>
              <w:pStyle w:val="12"/>
            </w:pPr>
            <w:r>
              <w:t>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0.93</w:t>
            </w:r>
          </w:p>
        </w:tc>
        <w:tc>
          <w:tcPr>
            <w:tcW w:w="2551" w:type="dxa"/>
            <w:vAlign w:val="center"/>
          </w:tcPr>
          <w:p>
            <w:pPr>
              <w:pStyle w:val="12"/>
            </w:pPr>
            <w:r>
              <w:t>0.93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712共青团新华区委员会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35.64</w:t>
            </w:r>
          </w:p>
        </w:tc>
        <w:tc>
          <w:tcPr>
            <w:tcW w:w="2551" w:type="dxa"/>
            <w:vAlign w:val="center"/>
          </w:tcPr>
          <w:p>
            <w:pPr>
              <w:pStyle w:val="16"/>
            </w:pPr>
            <w:r>
              <w:t>32.41</w:t>
            </w:r>
          </w:p>
        </w:tc>
        <w:tc>
          <w:tcPr>
            <w:tcW w:w="2551" w:type="dxa"/>
            <w:vAlign w:val="center"/>
          </w:tcPr>
          <w:p>
            <w:pPr>
              <w:pStyle w:val="16"/>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32.41</w:t>
            </w:r>
          </w:p>
        </w:tc>
        <w:tc>
          <w:tcPr>
            <w:tcW w:w="2551" w:type="dxa"/>
            <w:vAlign w:val="center"/>
          </w:tcPr>
          <w:p>
            <w:pPr>
              <w:pStyle w:val="12"/>
            </w:pPr>
            <w:r>
              <w:t>32.41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8.06</w:t>
            </w:r>
          </w:p>
        </w:tc>
        <w:tc>
          <w:tcPr>
            <w:tcW w:w="2551" w:type="dxa"/>
            <w:vAlign w:val="center"/>
          </w:tcPr>
          <w:p>
            <w:pPr>
              <w:pStyle w:val="12"/>
            </w:pPr>
            <w:r>
              <w:t>8.06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7.31</w:t>
            </w:r>
          </w:p>
        </w:tc>
        <w:tc>
          <w:tcPr>
            <w:tcW w:w="2551" w:type="dxa"/>
            <w:vAlign w:val="center"/>
          </w:tcPr>
          <w:p>
            <w:pPr>
              <w:pStyle w:val="12"/>
            </w:pPr>
            <w:r>
              <w:t>7.31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8.49</w:t>
            </w:r>
          </w:p>
        </w:tc>
        <w:tc>
          <w:tcPr>
            <w:tcW w:w="2551" w:type="dxa"/>
            <w:vAlign w:val="center"/>
          </w:tcPr>
          <w:p>
            <w:pPr>
              <w:pStyle w:val="12"/>
            </w:pPr>
            <w:r>
              <w:t>8.49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3.06</w:t>
            </w:r>
          </w:p>
        </w:tc>
        <w:tc>
          <w:tcPr>
            <w:tcW w:w="2551" w:type="dxa"/>
            <w:vAlign w:val="center"/>
          </w:tcPr>
          <w:p>
            <w:pPr>
              <w:pStyle w:val="12"/>
            </w:pPr>
            <w:r>
              <w:t>3.06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1.48</w:t>
            </w:r>
          </w:p>
        </w:tc>
        <w:tc>
          <w:tcPr>
            <w:tcW w:w="2551" w:type="dxa"/>
            <w:vAlign w:val="center"/>
          </w:tcPr>
          <w:p>
            <w:pPr>
              <w:pStyle w:val="12"/>
            </w:pPr>
            <w:r>
              <w:t>1.48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0.93</w:t>
            </w:r>
          </w:p>
        </w:tc>
        <w:tc>
          <w:tcPr>
            <w:tcW w:w="2551" w:type="dxa"/>
            <w:vAlign w:val="center"/>
          </w:tcPr>
          <w:p>
            <w:pPr>
              <w:pStyle w:val="12"/>
            </w:pPr>
            <w:r>
              <w:t>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0.08</w:t>
            </w:r>
          </w:p>
        </w:tc>
        <w:tc>
          <w:tcPr>
            <w:tcW w:w="2551" w:type="dxa"/>
            <w:vAlign w:val="center"/>
          </w:tcPr>
          <w:p>
            <w:pPr>
              <w:pStyle w:val="12"/>
            </w:pPr>
            <w:r>
              <w:t>0.08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3.23</w:t>
            </w:r>
          </w:p>
        </w:tc>
        <w:tc>
          <w:tcPr>
            <w:tcW w:w="2551" w:type="dxa"/>
            <w:vAlign w:val="center"/>
          </w:tcPr>
          <w:p>
            <w:pPr>
              <w:pStyle w:val="12"/>
            </w:pPr>
          </w:p>
        </w:tc>
        <w:tc>
          <w:tcPr>
            <w:tcW w:w="2551" w:type="dxa"/>
            <w:vAlign w:val="center"/>
          </w:tcPr>
          <w:p>
            <w:pPr>
              <w:pStyle w:val="12"/>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0.32</w:t>
            </w:r>
          </w:p>
        </w:tc>
        <w:tc>
          <w:tcPr>
            <w:tcW w:w="2551" w:type="dxa"/>
            <w:vAlign w:val="center"/>
          </w:tcPr>
          <w:p>
            <w:pPr>
              <w:pStyle w:val="12"/>
            </w:pPr>
          </w:p>
        </w:tc>
        <w:tc>
          <w:tcPr>
            <w:tcW w:w="2551"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0.05</w:t>
            </w:r>
          </w:p>
        </w:tc>
        <w:tc>
          <w:tcPr>
            <w:tcW w:w="2551" w:type="dxa"/>
            <w:vAlign w:val="center"/>
          </w:tcPr>
          <w:p>
            <w:pPr>
              <w:pStyle w:val="12"/>
            </w:pPr>
          </w:p>
        </w:tc>
        <w:tc>
          <w:tcPr>
            <w:tcW w:w="2551" w:type="dxa"/>
            <w:vAlign w:val="center"/>
          </w:tcPr>
          <w:p>
            <w:pPr>
              <w:pStyle w:val="12"/>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1.14</w:t>
            </w:r>
          </w:p>
        </w:tc>
        <w:tc>
          <w:tcPr>
            <w:tcW w:w="2551" w:type="dxa"/>
            <w:vAlign w:val="center"/>
          </w:tcPr>
          <w:p>
            <w:pPr>
              <w:pStyle w:val="12"/>
            </w:pPr>
          </w:p>
        </w:tc>
        <w:tc>
          <w:tcPr>
            <w:tcW w:w="2551" w:type="dxa"/>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0.27</w:t>
            </w:r>
          </w:p>
        </w:tc>
        <w:tc>
          <w:tcPr>
            <w:tcW w:w="2551" w:type="dxa"/>
            <w:vAlign w:val="center"/>
          </w:tcPr>
          <w:p>
            <w:pPr>
              <w:pStyle w:val="12"/>
            </w:pPr>
          </w:p>
        </w:tc>
        <w:tc>
          <w:tcPr>
            <w:tcW w:w="2551" w:type="dxa"/>
            <w:vAlign w:val="center"/>
          </w:tcPr>
          <w:p>
            <w:pPr>
              <w:pStyle w:val="12"/>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0.02</w:t>
            </w:r>
          </w:p>
        </w:tc>
        <w:tc>
          <w:tcPr>
            <w:tcW w:w="2551" w:type="dxa"/>
            <w:vAlign w:val="center"/>
          </w:tcPr>
          <w:p>
            <w:pPr>
              <w:pStyle w:val="12"/>
            </w:pPr>
          </w:p>
        </w:tc>
        <w:tc>
          <w:tcPr>
            <w:tcW w:w="2551"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0.06</w:t>
            </w:r>
          </w:p>
        </w:tc>
        <w:tc>
          <w:tcPr>
            <w:tcW w:w="2551" w:type="dxa"/>
            <w:vAlign w:val="center"/>
          </w:tcPr>
          <w:p>
            <w:pPr>
              <w:pStyle w:val="12"/>
            </w:pPr>
          </w:p>
        </w:tc>
        <w:tc>
          <w:tcPr>
            <w:tcW w:w="2551"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0.12</w:t>
            </w:r>
          </w:p>
        </w:tc>
        <w:tc>
          <w:tcPr>
            <w:tcW w:w="2551" w:type="dxa"/>
            <w:vAlign w:val="center"/>
          </w:tcPr>
          <w:p>
            <w:pPr>
              <w:pStyle w:val="12"/>
            </w:pPr>
          </w:p>
        </w:tc>
        <w:tc>
          <w:tcPr>
            <w:tcW w:w="2551"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0.02</w:t>
            </w:r>
          </w:p>
        </w:tc>
        <w:tc>
          <w:tcPr>
            <w:tcW w:w="2551" w:type="dxa"/>
            <w:vAlign w:val="center"/>
          </w:tcPr>
          <w:p>
            <w:pPr>
              <w:pStyle w:val="12"/>
            </w:pPr>
          </w:p>
        </w:tc>
        <w:tc>
          <w:tcPr>
            <w:tcW w:w="2551"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0.03</w:t>
            </w:r>
          </w:p>
        </w:tc>
        <w:tc>
          <w:tcPr>
            <w:tcW w:w="2551" w:type="dxa"/>
            <w:vAlign w:val="center"/>
          </w:tcPr>
          <w:p>
            <w:pPr>
              <w:pStyle w:val="12"/>
            </w:pPr>
          </w:p>
        </w:tc>
        <w:tc>
          <w:tcPr>
            <w:tcW w:w="2551" w:type="dxa"/>
            <w:vAlign w:val="center"/>
          </w:tcPr>
          <w:p>
            <w:pPr>
              <w:pStyle w:val="12"/>
            </w:pPr>
            <w:r>
              <w:t>0.03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712共青团新华区委员会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712共青团新华区委员会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712共青团新华区委员会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0.02</w:t>
            </w:r>
          </w:p>
        </w:tc>
        <w:tc>
          <w:tcPr>
            <w:tcW w:w="2381" w:type="dxa"/>
            <w:vAlign w:val="center"/>
          </w:tcPr>
          <w:p>
            <w:pPr>
              <w:pStyle w:val="16"/>
            </w:pPr>
            <w:r>
              <w:t>0.02</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0.02</w:t>
            </w:r>
          </w:p>
        </w:tc>
        <w:tc>
          <w:tcPr>
            <w:tcW w:w="2381" w:type="dxa"/>
            <w:vAlign w:val="center"/>
          </w:tcPr>
          <w:p>
            <w:pPr>
              <w:pStyle w:val="12"/>
            </w:pPr>
            <w:r>
              <w:t>0.02</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共青团新华区委员会2026年部门预算信息公开情况说明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共青团新华区委员会2026年部门预算信息公开情况说明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按照《中华人民共和国预算法》、《地方预决算公开操作规程》和《关于进一步推进预算公开工作的实施意见》规定，现将共青团新华区委员会2026年部门预算公开如下：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（一）领导全区共青团工作，受区委委托领导全区少先队工作，在区青年联合会中发挥主导作用。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（二）负责组织全区团员青年参加改革开放和社会主义现代化建设实践，在经济建设、政治建设、文化建设、社会建设、生态文明建设中发挥生力军和突击队作用，为全面推进中国式现代化贡献力量。</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三）负责全区青年思想引领工作。组织青年学习马克思列宁主义、毛泽东思想、邓小平理论、“三个代表”重要思想、科学发展观、习近平新时代中国特色社会主义思想，引导青年树立正确的理想信念，提高青年思想道德素质和科学文化素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（四）围绕区委、区政府中心任务，组织开展形式多样、适合青年特点、健康有益的活动和工作，开展青年志愿服务。</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（五）协助区委、区政府管理青年事务承担相应的公共职能。</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（六）落实党对共青团改革要求，加强全区基层团组织建设，增强团组织的吸引力和凝聚力，扩大团的工作有效覆盖面。</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负责团干部队伍建设，严格团的领导机关和团干部的管理和监督；负责全区团员队伍建设，负责团员管理和发展、推优入党、团的组织统计、团费收缴等基础团务工作；负责团干部教育培训；协助组织部门做好青年人才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（八）做好青年统战对象的团结教育工作，维护促进祖国统一和民族团结；会同有关部门对全区青少年外事工作进行管理和提供服务，加强对外交流合作。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推动落实青年发展规划，建立完善青年服务体系；开展促进青年就业、创业、创新、创优和青年职业文明素养培养、技能培训提升等工作；负责推动青年融入社会，促进青少年健康全面发展；负责重点青少年群体服务管理工作；开展青少年权益维护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指导全区中职中学共青团工作，了解掌握青年学生的思想动态；指导学生开展创新创业、社会实践、就业帮扶和课外科技文化活动；负责全区少年儿童思想引导工作；指导全区少先队组织、少先队工作者和少先队辅导员队伍建设；负责全区少先队活动课程和少先队活动阵地建设；承担区少工委日常工作。</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（十一）负责全区青年志愿者的招募、注册、培训、调配、使用等工作；承担大型会议、大型活动、重要赛事的青年志愿者工作；指导青年志愿组织开展志愿服务活动。</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（十二）完成区委、区政府和团省委、团市委交办的其他任务。</w:t>
      </w:r>
      <w:bookmarkStart w:id="20" w:name="_GoBack"/>
      <w:bookmarkEnd w:id="20"/>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共青团新华区委员会（本级）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按照预算管理有关规定，目前部门预算的编制实行综合预算管理，即全部收入和支出都反映在预算中。共青团新华区委员会机关及所属事业单位的收支包含在部门预算中。</w:t>
      </w:r>
    </w:p>
    <w:p>
      <w:pPr>
        <w:pStyle w:val="19"/>
      </w:pPr>
      <w:r>
        <w:t>1、收入说明</w:t>
      </w:r>
    </w:p>
    <w:p>
      <w:pPr>
        <w:pStyle w:val="19"/>
      </w:pPr>
      <w:r>
        <w:t>反映本部门当年全部收入。2026年预算收入38.64万元，其中：一般公共预算收入38.64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共青团新华区委员会年度部门预算中支出预算的总体情况。2026年支出预算38.64万元，其中基本支出35.64万元，包括人员经费32.41万元和日常公用经费3.23万元；项目支出3.00万元，主要为组织建设和宣传教育经费、预防青少年违法犯罪经费、青年发展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2026年预算收支安排38.64万元，较2025年预算减少16.58万元，其中：基本支出减少16.58万元，主要为人员调出，人员经费减少项目支出增加0.00万元，主要为无。预计下年使用的单位资金结余增加0.00万元。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2026年，我部门机关运行经费共计安排3.23万元，主要用于日常维修、办公用房水电费、办公用房取暖费、办公用房物业管理费等日常运行支出。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0.02万元，其中因公出国（境）费0.00万元；公务用车购置及运维费0.00万元（其中：公务用车购置费为0.00万元，公务用车运维费0.00万元)；公务接待费0.02万元。与2025年相比增加0.00万元，增减变化的主要原因是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深入贯彻党的二十大和团的十九大精神，以习近平新时代中国特色社会主义思想为指导，认真落实全团改革要求，紧紧围绕区委中心工作，开展各项工作。组织团员青年学习马克思列宁主义、毛泽东思想、邓小平理论、“三个代表”重要思想、习近平新时代中国特色社会主义思想，学习党的路线、方针和政策，学习科学、文化和业务，提升团员青年思想认识、思想觉悟。宣传、执行区委和上级团组织的决定和指示，发挥团员模范作用，积极组织团员青年和少先队员参与本区各项创建活动，为本区建设作贡献。加强青少年法制宣传教育,增强青少年学法遵法守法用法意识、自我保护意识，促进青少年健康成长。了解本区团员青年的思想、维护他们的权益，关心他们的学习、工作、生活和休息，开展文化、娱乐、体育活动。做好本区团的基础性工作，如团员教育、团员发展、团费收缴等。积极组织本区团员青年和少先队员创造性地开展活动，搞好搞活团、队工作。积极开展各类青少年志愿服务活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（一）组织建设和宣传教育</w:t>
      </w:r>
    </w:p>
    <w:p>
      <w:pPr>
        <w:pStyle w:val="23"/>
      </w:pPr>
      <w:r>
        <w:t>绩效目标：加强组织建设，提高团组织服务能力；加强宣传教育，做好思想引导工作。</w:t>
      </w:r>
    </w:p>
    <w:p>
      <w:pPr>
        <w:pStyle w:val="23"/>
      </w:pPr>
      <w:r>
        <w:t xml:space="preserve">绩效指标：工作完成率、任务实现率 </w:t>
      </w:r>
    </w:p>
    <w:p>
      <w:pPr>
        <w:pStyle w:val="23"/>
      </w:pPr>
      <w:r>
        <w:t>（二）预防青少年违法犯罪</w:t>
      </w:r>
    </w:p>
    <w:p>
      <w:pPr>
        <w:pStyle w:val="23"/>
      </w:pPr>
      <w:r>
        <w:t>绩效目标：预防青少年违法犯罪，增强青少年学法、尊法、守法、用法意识，推动青少年事务社会工作有效开展</w:t>
      </w:r>
    </w:p>
    <w:p>
      <w:pPr>
        <w:pStyle w:val="23"/>
      </w:pPr>
      <w:r>
        <w:t>绩效指标：工作完成率、任务实现率</w:t>
      </w:r>
    </w:p>
    <w:p>
      <w:pPr>
        <w:pStyle w:val="23"/>
      </w:pPr>
      <w:r>
        <w:t>（三）青年发展</w:t>
      </w:r>
    </w:p>
    <w:p>
      <w:pPr>
        <w:pStyle w:val="23"/>
      </w:pPr>
      <w:r>
        <w:t>绩效目标：推动《建设“新之所向 青春新华”实施方案》落实，提高青年工作水平。</w:t>
      </w:r>
    </w:p>
    <w:p>
      <w:pPr>
        <w:pStyle w:val="23"/>
      </w:pPr>
      <w:r>
        <w:t>绩效指标：工作完成率、任务实现率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深入贯彻党的二十大和团的十九大精神，以习近平新时代中国特色社会主义思想为指导，特别是习近平总书记关于共青团、青少年工作的重要要求，认真落实全团改革要求，紧紧围绕区委中心工作，认真履行组织青年、引导青年、服务青年、维护青少年合法权益的职能，努力推进我区共青团各项事业实现新的发展。</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1、青年发展绩效目标表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13010526P00001410368C</w:t>
            </w:r>
          </w:p>
        </w:tc>
        <w:tc>
          <w:tcPr>
            <w:tcW w:w="2835" w:type="dxa"/>
            <w:vAlign w:val="center"/>
          </w:tcPr>
          <w:p>
            <w:pPr>
              <w:pStyle w:val="11"/>
            </w:pPr>
            <w:r>
              <w:t>项目名称</w:t>
            </w:r>
          </w:p>
        </w:tc>
        <w:tc>
          <w:tcPr>
            <w:tcW w:w="6095" w:type="dxa"/>
            <w:gridSpan w:val="3"/>
            <w:vAlign w:val="center"/>
          </w:tcPr>
          <w:p>
            <w:pPr>
              <w:pStyle w:val="13"/>
            </w:pPr>
            <w:r>
              <w:t>青年发展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用于加强青年人才队伍建设，加强青年心理健康教育和服务。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0.10</w:t>
            </w:r>
          </w:p>
        </w:tc>
        <w:tc>
          <w:tcPr>
            <w:tcW w:w="2835" w:type="dxa"/>
            <w:vAlign w:val="center"/>
          </w:tcPr>
          <w:p>
            <w:pPr>
              <w:pStyle w:val="14"/>
            </w:pPr>
            <w:r>
              <w:t>0.25</w:t>
            </w:r>
          </w:p>
        </w:tc>
        <w:tc>
          <w:tcPr>
            <w:tcW w:w="2551" w:type="dxa"/>
            <w:vAlign w:val="center"/>
          </w:tcPr>
          <w:p>
            <w:pPr>
              <w:pStyle w:val="14"/>
            </w:pPr>
            <w:r>
              <w:t>0.30</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1.加强青年理想信念教育，在青年中培育和践行社会主义核心价值观，强化网上思想引领。</w:t>
            </w:r>
            <w:r>
              <w:tab/>
            </w:r>
            <w:r>
              <w:tab/>
            </w:r>
          </w:p>
          <w:p>
            <w:pPr>
              <w:pStyle w:val="13"/>
            </w:pPr>
            <w:r>
              <w:t>健全党领导下的以共青团为主导的青年组织体系，着力促进不同青年群体更好实现社会融入交流融合，引领青年有序参与政治生活和社会公共事务。</w:t>
            </w:r>
            <w:r>
              <w:tab/>
            </w:r>
            <w:r>
              <w:tab/>
            </w:r>
          </w:p>
          <w:p>
            <w:pPr>
              <w:pStyle w:val="13"/>
            </w:pPr>
            <w:r>
              <w:t>促进教育均衡发展，提升实践育人成效，加强青年人才队伍建设，加强青年心理健康教育和服务。</w:t>
            </w:r>
            <w:r>
              <w:tab/>
            </w:r>
            <w:r>
              <w:tab/>
            </w:r>
          </w:p>
          <w:p>
            <w:pPr>
              <w:pStyle w:val="13"/>
            </w:pPr>
            <w:r>
              <w:t>引导职业青年立足岗位创优。</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社会实践活动参与人数</w:t>
            </w:r>
          </w:p>
        </w:tc>
        <w:tc>
          <w:tcPr>
            <w:tcW w:w="5386" w:type="dxa"/>
            <w:vAlign w:val="center"/>
          </w:tcPr>
          <w:p>
            <w:pPr>
              <w:pStyle w:val="13"/>
            </w:pPr>
            <w:r>
              <w:t>社会实践活动参与人数</w:t>
            </w:r>
          </w:p>
        </w:tc>
        <w:tc>
          <w:tcPr>
            <w:tcW w:w="2268" w:type="dxa"/>
            <w:vAlign w:val="center"/>
          </w:tcPr>
          <w:p>
            <w:pPr>
              <w:pStyle w:val="13"/>
            </w:pPr>
            <w:r>
              <w:t>≥100人</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调研、联谊等青年活动的完成率</w:t>
            </w:r>
          </w:p>
        </w:tc>
        <w:tc>
          <w:tcPr>
            <w:tcW w:w="5386" w:type="dxa"/>
            <w:vAlign w:val="center"/>
          </w:tcPr>
          <w:p>
            <w:pPr>
              <w:pStyle w:val="13"/>
            </w:pPr>
            <w:r>
              <w:t>与青年发展相关的活动完成程度和情况</w:t>
            </w:r>
          </w:p>
        </w:tc>
        <w:tc>
          <w:tcPr>
            <w:tcW w:w="2268" w:type="dxa"/>
            <w:vAlign w:val="center"/>
          </w:tcPr>
          <w:p>
            <w:pPr>
              <w:pStyle w:val="13"/>
            </w:pPr>
            <w:r>
              <w:t>≥80%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及时召开青年与人大代表、政协委员面对面活动</w:t>
            </w:r>
          </w:p>
        </w:tc>
        <w:tc>
          <w:tcPr>
            <w:tcW w:w="5386" w:type="dxa"/>
            <w:vAlign w:val="center"/>
          </w:tcPr>
          <w:p>
            <w:pPr>
              <w:pStyle w:val="13"/>
            </w:pPr>
            <w:r>
              <w:t>及时召开青年与人大代表、政协委员面对面活动</w:t>
            </w:r>
          </w:p>
        </w:tc>
        <w:tc>
          <w:tcPr>
            <w:tcW w:w="2268" w:type="dxa"/>
            <w:vAlign w:val="center"/>
          </w:tcPr>
          <w:p>
            <w:pPr>
              <w:pStyle w:val="13"/>
            </w:pPr>
            <w:r>
              <w:t>年底前召开</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在预算内完成工作</w:t>
            </w:r>
          </w:p>
        </w:tc>
        <w:tc>
          <w:tcPr>
            <w:tcW w:w="5386" w:type="dxa"/>
            <w:vAlign w:val="center"/>
          </w:tcPr>
          <w:p>
            <w:pPr>
              <w:pStyle w:val="13"/>
            </w:pPr>
            <w:r>
              <w:t>在预算内完成工作</w:t>
            </w:r>
          </w:p>
        </w:tc>
        <w:tc>
          <w:tcPr>
            <w:tcW w:w="2268" w:type="dxa"/>
            <w:vAlign w:val="center"/>
          </w:tcPr>
          <w:p>
            <w:pPr>
              <w:pStyle w:val="13"/>
            </w:pPr>
            <w:r>
              <w:t>≤100%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联谊交友、志愿服务等活动的开展场次及效果</w:t>
            </w:r>
          </w:p>
        </w:tc>
        <w:tc>
          <w:tcPr>
            <w:tcW w:w="5386" w:type="dxa"/>
            <w:vAlign w:val="center"/>
          </w:tcPr>
          <w:p>
            <w:pPr>
              <w:pStyle w:val="13"/>
            </w:pPr>
            <w:r>
              <w:t>相关活动场次</w:t>
            </w:r>
          </w:p>
          <w:p>
            <w:pPr>
              <w:pStyle w:val="13"/>
            </w:pPr>
          </w:p>
        </w:tc>
        <w:tc>
          <w:tcPr>
            <w:tcW w:w="2268" w:type="dxa"/>
            <w:vAlign w:val="center"/>
          </w:tcPr>
          <w:p>
            <w:pPr>
              <w:pStyle w:val="13"/>
            </w:pPr>
            <w:r>
              <w:t>≥10场</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青年满意度</w:t>
            </w:r>
          </w:p>
        </w:tc>
        <w:tc>
          <w:tcPr>
            <w:tcW w:w="5386" w:type="dxa"/>
            <w:vAlign w:val="center"/>
          </w:tcPr>
          <w:p>
            <w:pPr>
              <w:pStyle w:val="13"/>
            </w:pPr>
            <w:r>
              <w:t>青年满意度</w:t>
            </w:r>
          </w:p>
        </w:tc>
        <w:tc>
          <w:tcPr>
            <w:tcW w:w="2268" w:type="dxa"/>
            <w:vAlign w:val="center"/>
          </w:tcPr>
          <w:p>
            <w:pPr>
              <w:pStyle w:val="13"/>
            </w:pPr>
            <w:r>
              <w:t>≥70%</w:t>
            </w:r>
          </w:p>
        </w:tc>
        <w:tc>
          <w:tcPr>
            <w:tcW w:w="1276" w:type="dxa"/>
            <w:vAlign w:val="center"/>
          </w:tcPr>
          <w:p>
            <w:pPr>
              <w:pStyle w:val="13"/>
            </w:pPr>
            <w:r>
              <w:t>相关文件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2、预防青少年犯罪绩效目标表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13010526P000014103690</w:t>
            </w:r>
          </w:p>
        </w:tc>
        <w:tc>
          <w:tcPr>
            <w:tcW w:w="2835" w:type="dxa"/>
            <w:vAlign w:val="center"/>
          </w:tcPr>
          <w:p>
            <w:pPr>
              <w:pStyle w:val="11"/>
            </w:pPr>
            <w:r>
              <w:t>项目名称</w:t>
            </w:r>
          </w:p>
        </w:tc>
        <w:tc>
          <w:tcPr>
            <w:tcW w:w="6095" w:type="dxa"/>
            <w:gridSpan w:val="3"/>
            <w:vAlign w:val="center"/>
          </w:tcPr>
          <w:p>
            <w:pPr>
              <w:pStyle w:val="13"/>
            </w:pPr>
            <w:r>
              <w:t>预防青少年犯罪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用于推动青少年事务社会工作开展；提高源头治理力度，做好预防青少年违法犯罪工作；做好青少年法治宣传教育工作。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0.10</w:t>
            </w:r>
          </w:p>
        </w:tc>
        <w:tc>
          <w:tcPr>
            <w:tcW w:w="2835" w:type="dxa"/>
            <w:vAlign w:val="center"/>
          </w:tcPr>
          <w:p>
            <w:pPr>
              <w:pStyle w:val="14"/>
            </w:pPr>
            <w:r>
              <w:t>0.25</w:t>
            </w:r>
          </w:p>
        </w:tc>
        <w:tc>
          <w:tcPr>
            <w:tcW w:w="2551" w:type="dxa"/>
            <w:vAlign w:val="center"/>
          </w:tcPr>
          <w:p>
            <w:pPr>
              <w:pStyle w:val="14"/>
            </w:pPr>
            <w:r>
              <w:t>0.30</w:t>
            </w:r>
          </w:p>
        </w:tc>
        <w:tc>
          <w:tcPr>
            <w:tcW w:w="3544" w:type="dxa"/>
            <w:gridSpan w:val="2"/>
            <w:vAlign w:val="center"/>
          </w:tcPr>
          <w:p>
            <w:pPr>
              <w:pStyle w:val="14"/>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1.构建和完善维护青少年发展权益的机制化、社会化、专业化工作体系。</w:t>
            </w:r>
          </w:p>
          <w:p>
            <w:pPr>
              <w:pStyle w:val="13"/>
            </w:pPr>
            <w:r>
              <w:t>推动青少年事务社会工作开展；提高源头治理力度，做好预防青少年违法犯罪工作；做好青少年法治宣传教育工作。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组织青少年法制宣传教育参与人数</w:t>
            </w:r>
          </w:p>
        </w:tc>
        <w:tc>
          <w:tcPr>
            <w:tcW w:w="5386" w:type="dxa"/>
            <w:vAlign w:val="center"/>
          </w:tcPr>
          <w:p>
            <w:pPr>
              <w:pStyle w:val="13"/>
            </w:pPr>
            <w:r>
              <w:t>组织青少年法制宣传教育参与人数</w:t>
            </w:r>
          </w:p>
        </w:tc>
        <w:tc>
          <w:tcPr>
            <w:tcW w:w="2268" w:type="dxa"/>
            <w:vAlign w:val="center"/>
          </w:tcPr>
          <w:p>
            <w:pPr>
              <w:pStyle w:val="13"/>
            </w:pPr>
            <w:r>
              <w:t>≥60人</w:t>
            </w:r>
          </w:p>
        </w:tc>
        <w:tc>
          <w:tcPr>
            <w:tcW w:w="1276" w:type="dxa"/>
            <w:vAlign w:val="center"/>
          </w:tcPr>
          <w:p>
            <w:pPr>
              <w:pStyle w:val="13"/>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青少年自护夏令营开展情况</w:t>
            </w:r>
          </w:p>
        </w:tc>
        <w:tc>
          <w:tcPr>
            <w:tcW w:w="5386" w:type="dxa"/>
            <w:vAlign w:val="center"/>
          </w:tcPr>
          <w:p>
            <w:pPr>
              <w:pStyle w:val="13"/>
            </w:pPr>
            <w:r>
              <w:t>青少年自护夏令营开展情况</w:t>
            </w:r>
          </w:p>
        </w:tc>
        <w:tc>
          <w:tcPr>
            <w:tcW w:w="2268" w:type="dxa"/>
            <w:vAlign w:val="center"/>
          </w:tcPr>
          <w:p>
            <w:pPr>
              <w:pStyle w:val="13"/>
            </w:pPr>
            <w:r>
              <w:t>≥50人</w:t>
            </w:r>
          </w:p>
        </w:tc>
        <w:tc>
          <w:tcPr>
            <w:tcW w:w="1276" w:type="dxa"/>
            <w:vAlign w:val="center"/>
          </w:tcPr>
          <w:p>
            <w:pPr>
              <w:pStyle w:val="13"/>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预防青少年犯罪活动开展的及时性</w:t>
            </w:r>
          </w:p>
        </w:tc>
        <w:tc>
          <w:tcPr>
            <w:tcW w:w="5386" w:type="dxa"/>
            <w:vAlign w:val="center"/>
          </w:tcPr>
          <w:p>
            <w:pPr>
              <w:pStyle w:val="13"/>
            </w:pPr>
            <w:r>
              <w:t>预防青少年犯罪活动开展的及时性</w:t>
            </w:r>
          </w:p>
        </w:tc>
        <w:tc>
          <w:tcPr>
            <w:tcW w:w="2268" w:type="dxa"/>
            <w:vAlign w:val="center"/>
          </w:tcPr>
          <w:p>
            <w:pPr>
              <w:pStyle w:val="13"/>
            </w:pPr>
            <w:r>
              <w:t>及时开展</w:t>
            </w:r>
          </w:p>
        </w:tc>
        <w:tc>
          <w:tcPr>
            <w:tcW w:w="1276" w:type="dxa"/>
            <w:vAlign w:val="center"/>
          </w:tcPr>
          <w:p>
            <w:pPr>
              <w:pStyle w:val="13"/>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在预算内活动完成情况</w:t>
            </w:r>
          </w:p>
        </w:tc>
        <w:tc>
          <w:tcPr>
            <w:tcW w:w="5386" w:type="dxa"/>
            <w:vAlign w:val="center"/>
          </w:tcPr>
          <w:p>
            <w:pPr>
              <w:pStyle w:val="13"/>
            </w:pPr>
            <w:r>
              <w:t>在预算内活动完成情况</w:t>
            </w:r>
          </w:p>
        </w:tc>
        <w:tc>
          <w:tcPr>
            <w:tcW w:w="2268" w:type="dxa"/>
            <w:vAlign w:val="center"/>
          </w:tcPr>
          <w:p>
            <w:pPr>
              <w:pStyle w:val="13"/>
            </w:pPr>
            <w:r>
              <w:t>≤100%</w:t>
            </w:r>
          </w:p>
        </w:tc>
        <w:tc>
          <w:tcPr>
            <w:tcW w:w="1276" w:type="dxa"/>
            <w:vAlign w:val="center"/>
          </w:tcPr>
          <w:p>
            <w:pPr>
              <w:pStyle w:val="13"/>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预防青少年犯罪活动开展情况</w:t>
            </w:r>
          </w:p>
        </w:tc>
        <w:tc>
          <w:tcPr>
            <w:tcW w:w="5386" w:type="dxa"/>
            <w:vAlign w:val="center"/>
          </w:tcPr>
          <w:p>
            <w:pPr>
              <w:pStyle w:val="13"/>
            </w:pPr>
            <w:r>
              <w:t>预防青少年犯罪活动开展情况</w:t>
            </w:r>
          </w:p>
        </w:tc>
        <w:tc>
          <w:tcPr>
            <w:tcW w:w="2268" w:type="dxa"/>
            <w:vAlign w:val="center"/>
          </w:tcPr>
          <w:p>
            <w:pPr>
              <w:pStyle w:val="13"/>
            </w:pPr>
            <w:r>
              <w:t>≥100人</w:t>
            </w:r>
          </w:p>
        </w:tc>
        <w:tc>
          <w:tcPr>
            <w:tcW w:w="1276" w:type="dxa"/>
            <w:vAlign w:val="center"/>
          </w:tcPr>
          <w:p>
            <w:pPr>
              <w:pStyle w:val="13"/>
            </w:pPr>
            <w:r>
              <w:t>根据相关要求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青少年满意度</w:t>
            </w:r>
          </w:p>
        </w:tc>
        <w:tc>
          <w:tcPr>
            <w:tcW w:w="5386" w:type="dxa"/>
            <w:vAlign w:val="center"/>
          </w:tcPr>
          <w:p>
            <w:pPr>
              <w:pStyle w:val="13"/>
            </w:pPr>
            <w:r>
              <w:t>青少年满意度</w:t>
            </w:r>
          </w:p>
        </w:tc>
        <w:tc>
          <w:tcPr>
            <w:tcW w:w="2268" w:type="dxa"/>
            <w:vAlign w:val="center"/>
          </w:tcPr>
          <w:p>
            <w:pPr>
              <w:pStyle w:val="13"/>
            </w:pPr>
            <w:r>
              <w:t>≥70%</w:t>
            </w:r>
          </w:p>
        </w:tc>
        <w:tc>
          <w:tcPr>
            <w:tcW w:w="1276" w:type="dxa"/>
            <w:vAlign w:val="center"/>
          </w:tcPr>
          <w:p>
            <w:pPr>
              <w:pStyle w:val="13"/>
            </w:pPr>
            <w:r>
              <w:t>根据相关要求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3、组织建设和宣传教育绩效目标表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13010526P00001410371Y</w:t>
            </w:r>
          </w:p>
        </w:tc>
        <w:tc>
          <w:tcPr>
            <w:tcW w:w="2835" w:type="dxa"/>
            <w:vAlign w:val="center"/>
          </w:tcPr>
          <w:p>
            <w:pPr>
              <w:pStyle w:val="11"/>
            </w:pPr>
            <w:r>
              <w:t>项目名称</w:t>
            </w:r>
          </w:p>
        </w:tc>
        <w:tc>
          <w:tcPr>
            <w:tcW w:w="6095" w:type="dxa"/>
            <w:gridSpan w:val="3"/>
            <w:vAlign w:val="center"/>
          </w:tcPr>
          <w:p>
            <w:pPr>
              <w:pStyle w:val="13"/>
            </w:pPr>
            <w:r>
              <w:t>组织建设和宣传教育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用于领导全区共青团、少先队工作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1.各基层团组织和青年组织建设加强，活力明显提升，基层团组织服务能力不断提高。</w:t>
            </w:r>
            <w:r>
              <w:tab/>
            </w:r>
            <w:r>
              <w:tab/>
            </w:r>
          </w:p>
          <w:p>
            <w:pPr>
              <w:pStyle w:val="13"/>
            </w:pPr>
            <w:r>
              <w:t>强化团干部教育培训，加强思想和作风建设。</w:t>
            </w:r>
            <w:r>
              <w:tab/>
            </w:r>
            <w:r>
              <w:tab/>
            </w:r>
          </w:p>
          <w:p>
            <w:pPr>
              <w:pStyle w:val="13"/>
            </w:pPr>
            <w:r>
              <w:t>加强少工委组织建设。</w:t>
            </w:r>
            <w:r>
              <w:tab/>
            </w:r>
            <w:r>
              <w:tab/>
            </w:r>
          </w:p>
          <w:p>
            <w:pPr>
              <w:pStyle w:val="13"/>
            </w:pPr>
            <w:r>
              <w:t>加强青年志愿组织和青年社会组织及青少年活动阵地的指导和管理。</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培训团组织和少先队工作者人数</w:t>
            </w:r>
          </w:p>
        </w:tc>
        <w:tc>
          <w:tcPr>
            <w:tcW w:w="5386" w:type="dxa"/>
            <w:vAlign w:val="center"/>
          </w:tcPr>
          <w:p>
            <w:pPr>
              <w:pStyle w:val="13"/>
            </w:pPr>
            <w:r>
              <w:t>培训团组织和少先队工作者人数</w:t>
            </w:r>
          </w:p>
        </w:tc>
        <w:tc>
          <w:tcPr>
            <w:tcW w:w="2268" w:type="dxa"/>
            <w:vAlign w:val="center"/>
          </w:tcPr>
          <w:p>
            <w:pPr>
              <w:pStyle w:val="13"/>
            </w:pPr>
            <w:r>
              <w:t>≥100人</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团属阵地标准化建设比例</w:t>
            </w:r>
          </w:p>
        </w:tc>
        <w:tc>
          <w:tcPr>
            <w:tcW w:w="5386" w:type="dxa"/>
            <w:vAlign w:val="center"/>
          </w:tcPr>
          <w:p>
            <w:pPr>
              <w:pStyle w:val="13"/>
            </w:pPr>
            <w:r>
              <w:t>团属阵地标准化建设比例</w:t>
            </w:r>
          </w:p>
        </w:tc>
        <w:tc>
          <w:tcPr>
            <w:tcW w:w="2268" w:type="dxa"/>
            <w:vAlign w:val="center"/>
          </w:tcPr>
          <w:p>
            <w:pPr>
              <w:pStyle w:val="13"/>
            </w:pPr>
            <w:r>
              <w:t>≥70%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新发展团员录入工作</w:t>
            </w:r>
          </w:p>
        </w:tc>
        <w:tc>
          <w:tcPr>
            <w:tcW w:w="5386" w:type="dxa"/>
            <w:vAlign w:val="center"/>
          </w:tcPr>
          <w:p>
            <w:pPr>
              <w:pStyle w:val="13"/>
            </w:pPr>
            <w:r>
              <w:t>按期完成新发展团员录入工作</w:t>
            </w:r>
          </w:p>
        </w:tc>
        <w:tc>
          <w:tcPr>
            <w:tcW w:w="2268" w:type="dxa"/>
            <w:vAlign w:val="center"/>
          </w:tcPr>
          <w:p>
            <w:pPr>
              <w:pStyle w:val="13"/>
            </w:pPr>
            <w:r>
              <w:t>年底前完成</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在预算内完成阵地建设和宣传引导等工作</w:t>
            </w:r>
          </w:p>
        </w:tc>
        <w:tc>
          <w:tcPr>
            <w:tcW w:w="5386" w:type="dxa"/>
            <w:vAlign w:val="center"/>
          </w:tcPr>
          <w:p>
            <w:pPr>
              <w:pStyle w:val="13"/>
            </w:pPr>
            <w:r>
              <w:t>在预算内完成阵地建设和宣传引导等工作</w:t>
            </w:r>
          </w:p>
        </w:tc>
        <w:tc>
          <w:tcPr>
            <w:tcW w:w="2268" w:type="dxa"/>
            <w:vAlign w:val="center"/>
          </w:tcPr>
          <w:p>
            <w:pPr>
              <w:pStyle w:val="13"/>
            </w:pPr>
            <w:r>
              <w:t>≤100%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各类组织建设规范化程度</w:t>
            </w:r>
          </w:p>
        </w:tc>
        <w:tc>
          <w:tcPr>
            <w:tcW w:w="5386" w:type="dxa"/>
            <w:vAlign w:val="center"/>
          </w:tcPr>
          <w:p>
            <w:pPr>
              <w:pStyle w:val="13"/>
            </w:pPr>
            <w:r>
              <w:t>各类组织建设规范化程度</w:t>
            </w:r>
          </w:p>
        </w:tc>
        <w:tc>
          <w:tcPr>
            <w:tcW w:w="2268" w:type="dxa"/>
            <w:vAlign w:val="center"/>
          </w:tcPr>
          <w:p>
            <w:pPr>
              <w:pStyle w:val="13"/>
            </w:pPr>
            <w:r>
              <w:t>≥70%</w:t>
            </w:r>
          </w:p>
        </w:tc>
        <w:tc>
          <w:tcPr>
            <w:tcW w:w="1276" w:type="dxa"/>
            <w:vAlign w:val="center"/>
          </w:tcPr>
          <w:p>
            <w:pPr>
              <w:pStyle w:val="13"/>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青少年满意度</w:t>
            </w:r>
          </w:p>
        </w:tc>
        <w:tc>
          <w:tcPr>
            <w:tcW w:w="5386" w:type="dxa"/>
            <w:vAlign w:val="center"/>
          </w:tcPr>
          <w:p>
            <w:pPr>
              <w:pStyle w:val="13"/>
            </w:pPr>
            <w:r>
              <w:t>服务对象满意度</w:t>
            </w:r>
          </w:p>
        </w:tc>
        <w:tc>
          <w:tcPr>
            <w:tcW w:w="2268" w:type="dxa"/>
            <w:vAlign w:val="center"/>
          </w:tcPr>
          <w:p>
            <w:pPr>
              <w:pStyle w:val="13"/>
            </w:pPr>
            <w:r>
              <w:t>≥70%</w:t>
            </w:r>
          </w:p>
        </w:tc>
        <w:tc>
          <w:tcPr>
            <w:tcW w:w="1276" w:type="dxa"/>
            <w:vAlign w:val="center"/>
          </w:tcPr>
          <w:p>
            <w:pPr>
              <w:pStyle w:val="13"/>
            </w:pPr>
            <w:r>
              <w:t>相关文件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712共青团新华区委员会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共青团新华区委员会（含所属单位）上年末固定资产金额为7.05万元（详见下表）。本年度拟购置固定资产总额为0.00万元，已按要求列入政府采购预算，详见政府采购预算表。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712共青团新华区委员会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50</w:t>
            </w:r>
          </w:p>
        </w:tc>
        <w:tc>
          <w:tcPr>
            <w:tcW w:w="2835" w:type="dxa"/>
            <w:vAlign w:val="center"/>
          </w:tcPr>
          <w:p>
            <w:pPr>
              <w:pStyle w:val="12"/>
            </w:pPr>
            <w:r>
              <w:t>7.05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582B96"/>
    <w:rsid w:val="1874549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6</TotalTime>
  <ScaleCrop>false</ScaleCrop>
  <LinksUpToDate>false</LinksUpToDate>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2026-03-03T14:51:00Z</dcterms:created>
  <dc:creator>Administrator</dc:creator>
  <cp:lastModifiedBy>圈圈'轩</cp:lastModifiedBy>
  <dcterms:modified xsi:type="dcterms:W3CDTF">2026-03-03T07:11:28Z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907F1987EA3549419E6141F0B98CDC25</vt:lpwstr>
  </property>
</Properties>
</file>