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29</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455.73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448.07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7.66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455.73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455.73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455.73</w:t>
            </w:r>
          </w:p>
        </w:tc>
        <w:tc>
          <w:tcPr>
            <w:tcW w:w="4535" w:type="dxa"/>
            <w:vAlign w:val="center"/>
          </w:tcPr>
          <w:p>
            <w:pPr>
              <w:pStyle w:val="单元格样式6"/>
            </w:pPr>
            <w:r>
              <w:t xml:space="preserve">支出总计</w:t>
            </w:r>
          </w:p>
        </w:tc>
        <w:tc>
          <w:tcPr>
            <w:tcW w:w="2126" w:type="dxa"/>
            <w:vAlign w:val="center"/>
          </w:tcPr>
          <w:p>
            <w:pPr>
              <w:pStyle w:val="单元格样式7"/>
            </w:pPr>
            <w:r>
              <w:t xml:space="preserve">455.73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455.73</w:t>
            </w:r>
          </w:p>
        </w:tc>
        <w:tc>
          <w:tcPr>
            <w:tcW w:w="1134" w:type="dxa"/>
            <w:vAlign w:val="center"/>
          </w:tcPr>
          <w:p>
            <w:pPr>
              <w:pStyle w:val="单元格样式7"/>
            </w:pPr>
            <w:r>
              <w:t xml:space="preserve">455.73</w:t>
            </w:r>
          </w:p>
        </w:tc>
        <w:tc>
          <w:tcPr>
            <w:tcW w:w="1134" w:type="dxa"/>
            <w:vAlign w:val="center"/>
          </w:tcPr>
          <w:p>
            <w:pPr>
              <w:pStyle w:val="单元格样式7"/>
            </w:pPr>
            <w:r>
              <w:t xml:space="preserve">455.73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20105</w:t>
            </w:r>
          </w:p>
        </w:tc>
        <w:tc>
          <w:tcPr>
            <w:tcW w:w="1559" w:type="dxa"/>
            <w:vAlign w:val="center"/>
          </w:tcPr>
          <w:p>
            <w:pPr>
              <w:pStyle w:val="单元格样式2"/>
            </w:pPr>
            <w:r>
              <w:t xml:space="preserve">统计信息事务</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347.25</w:t>
            </w:r>
          </w:p>
        </w:tc>
        <w:tc>
          <w:tcPr>
            <w:tcW w:w="1134" w:type="dxa"/>
            <w:vAlign w:val="center"/>
          </w:tcPr>
          <w:p>
            <w:pPr>
              <w:pStyle w:val="单元格样式4"/>
            </w:pPr>
            <w:r>
              <w:t xml:space="preserve">347.25</w:t>
            </w:r>
          </w:p>
        </w:tc>
        <w:tc>
          <w:tcPr>
            <w:tcW w:w="1134" w:type="dxa"/>
            <w:vAlign w:val="center"/>
          </w:tcPr>
          <w:p>
            <w:pPr>
              <w:pStyle w:val="单元格样式4"/>
            </w:pPr>
            <w:r>
              <w:t xml:space="preserve">347.25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2010507</w:t>
            </w:r>
          </w:p>
        </w:tc>
        <w:tc>
          <w:tcPr>
            <w:tcW w:w="1559" w:type="dxa"/>
            <w:vAlign w:val="center"/>
          </w:tcPr>
          <w:p>
            <w:pPr>
              <w:pStyle w:val="单元格样式2"/>
            </w:pPr>
            <w:r>
              <w:t xml:space="preserve">专项普查活动</w:t>
            </w:r>
          </w:p>
        </w:tc>
        <w:tc>
          <w:tcPr>
            <w:tcW w:w="1134" w:type="dxa"/>
            <w:vAlign w:val="center"/>
          </w:tcPr>
          <w:p>
            <w:pPr>
              <w:pStyle w:val="单元格样式4"/>
            </w:pPr>
            <w:r>
              <w:t xml:space="preserve">31.30</w:t>
            </w:r>
          </w:p>
        </w:tc>
        <w:tc>
          <w:tcPr>
            <w:tcW w:w="1134" w:type="dxa"/>
            <w:vAlign w:val="center"/>
          </w:tcPr>
          <w:p>
            <w:pPr>
              <w:pStyle w:val="单元格样式4"/>
            </w:pPr>
            <w:r>
              <w:t xml:space="preserve">31.30</w:t>
            </w:r>
          </w:p>
        </w:tc>
        <w:tc>
          <w:tcPr>
            <w:tcW w:w="1134" w:type="dxa"/>
            <w:vAlign w:val="center"/>
          </w:tcPr>
          <w:p>
            <w:pPr>
              <w:pStyle w:val="单元格样式4"/>
            </w:pPr>
            <w:r>
              <w:t xml:space="preserve">31.30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2010508</w:t>
            </w:r>
          </w:p>
        </w:tc>
        <w:tc>
          <w:tcPr>
            <w:tcW w:w="1559" w:type="dxa"/>
            <w:vAlign w:val="center"/>
          </w:tcPr>
          <w:p>
            <w:pPr>
              <w:pStyle w:val="单元格样式2"/>
            </w:pPr>
            <w:r>
              <w:t xml:space="preserve">统计抽样调查</w:t>
            </w:r>
          </w:p>
        </w:tc>
        <w:tc>
          <w:tcPr>
            <w:tcW w:w="1134" w:type="dxa"/>
            <w:vAlign w:val="center"/>
          </w:tcPr>
          <w:p>
            <w:pPr>
              <w:pStyle w:val="单元格样式4"/>
            </w:pPr>
            <w:r>
              <w:t xml:space="preserve">69.52</w:t>
            </w:r>
          </w:p>
        </w:tc>
        <w:tc>
          <w:tcPr>
            <w:tcW w:w="1134" w:type="dxa"/>
            <w:vAlign w:val="center"/>
          </w:tcPr>
          <w:p>
            <w:pPr>
              <w:pStyle w:val="单元格样式4"/>
            </w:pPr>
            <w:r>
              <w:t xml:space="preserve">69.52</w:t>
            </w:r>
          </w:p>
        </w:tc>
        <w:tc>
          <w:tcPr>
            <w:tcW w:w="1134" w:type="dxa"/>
            <w:vAlign w:val="center"/>
          </w:tcPr>
          <w:p>
            <w:pPr>
              <w:pStyle w:val="单元格样式4"/>
            </w:pPr>
            <w:r>
              <w:t xml:space="preserve">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455.73</w:t>
            </w:r>
          </w:p>
        </w:tc>
        <w:tc>
          <w:tcPr>
            <w:tcW w:w="1361" w:type="dxa"/>
            <w:vAlign w:val="center"/>
          </w:tcPr>
          <w:p>
            <w:pPr>
              <w:pStyle w:val="单元格样式7"/>
            </w:pPr>
            <w:r>
              <w:t xml:space="preserve">353.91</w:t>
            </w:r>
          </w:p>
        </w:tc>
        <w:tc>
          <w:tcPr>
            <w:tcW w:w="1361" w:type="dxa"/>
            <w:vAlign w:val="center"/>
          </w:tcPr>
          <w:p>
            <w:pPr>
              <w:pStyle w:val="单元格样式7"/>
            </w:pPr>
            <w:r>
              <w:t xml:space="preserve">101.82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448.07</w:t>
            </w:r>
          </w:p>
        </w:tc>
        <w:tc>
          <w:tcPr>
            <w:tcW w:w="1361" w:type="dxa"/>
            <w:vAlign w:val="center"/>
          </w:tcPr>
          <w:p>
            <w:pPr>
              <w:pStyle w:val="单元格样式4"/>
            </w:pPr>
            <w:r>
              <w:t xml:space="preserve">346.25</w:t>
            </w:r>
          </w:p>
        </w:tc>
        <w:tc>
          <w:tcPr>
            <w:tcW w:w="1361" w:type="dxa"/>
            <w:vAlign w:val="center"/>
          </w:tcPr>
          <w:p>
            <w:pPr>
              <w:pStyle w:val="单元格样式4"/>
            </w:pPr>
            <w:r>
              <w:t xml:space="preserve">101.82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1361" w:type="dxa"/>
            <w:vAlign w:val="center"/>
          </w:tcPr>
          <w:p>
            <w:pPr>
              <w:pStyle w:val="单元格样式4"/>
            </w:pPr>
            <w:r>
              <w:t xml:space="preserve">448.07</w:t>
            </w:r>
          </w:p>
        </w:tc>
        <w:tc>
          <w:tcPr>
            <w:tcW w:w="1361" w:type="dxa"/>
            <w:vAlign w:val="center"/>
          </w:tcPr>
          <w:p>
            <w:pPr>
              <w:pStyle w:val="单元格样式4"/>
            </w:pPr>
            <w:r>
              <w:t xml:space="preserve">346.25</w:t>
            </w:r>
          </w:p>
        </w:tc>
        <w:tc>
          <w:tcPr>
            <w:tcW w:w="1361" w:type="dxa"/>
            <w:vAlign w:val="center"/>
          </w:tcPr>
          <w:p>
            <w:pPr>
              <w:pStyle w:val="单元格样式4"/>
            </w:pPr>
            <w:r>
              <w:t xml:space="preserve">101.82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347.25</w:t>
            </w:r>
          </w:p>
        </w:tc>
        <w:tc>
          <w:tcPr>
            <w:tcW w:w="1361" w:type="dxa"/>
            <w:vAlign w:val="center"/>
          </w:tcPr>
          <w:p>
            <w:pPr>
              <w:pStyle w:val="单元格样式4"/>
            </w:pPr>
            <w:r>
              <w:t xml:space="preserve">346.25</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2010507</w:t>
            </w:r>
          </w:p>
        </w:tc>
        <w:tc>
          <w:tcPr>
            <w:tcW w:w="4535" w:type="dxa"/>
            <w:vAlign w:val="center"/>
          </w:tcPr>
          <w:p>
            <w:pPr>
              <w:pStyle w:val="单元格样式2"/>
            </w:pPr>
            <w:r>
              <w:t xml:space="preserve">专项普查活动</w:t>
            </w:r>
          </w:p>
        </w:tc>
        <w:tc>
          <w:tcPr>
            <w:tcW w:w="1361" w:type="dxa"/>
            <w:vAlign w:val="center"/>
          </w:tcPr>
          <w:p>
            <w:pPr>
              <w:pStyle w:val="单元格样式4"/>
            </w:pPr>
            <w:r>
              <w:t xml:space="preserve">31.30</w:t>
            </w:r>
          </w:p>
        </w:tc>
        <w:tc>
          <w:tcPr>
            <w:tcW w:w="1361" w:type="dxa"/>
            <w:vAlign w:val="center"/>
          </w:tcPr>
          <w:p>
            <w:pPr>
              <w:pStyle w:val="单元格样式4"/>
            </w:pPr>
          </w:p>
        </w:tc>
        <w:tc>
          <w:tcPr>
            <w:tcW w:w="1361" w:type="dxa"/>
            <w:vAlign w:val="center"/>
          </w:tcPr>
          <w:p>
            <w:pPr>
              <w:pStyle w:val="单元格样式4"/>
            </w:pPr>
            <w:r>
              <w:t xml:space="preserve">31.30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1361" w:type="dxa"/>
            <w:vAlign w:val="center"/>
          </w:tcPr>
          <w:p>
            <w:pPr>
              <w:pStyle w:val="单元格样式4"/>
            </w:pPr>
            <w:r>
              <w:t xml:space="preserve">69.52</w:t>
            </w:r>
          </w:p>
        </w:tc>
        <w:tc>
          <w:tcPr>
            <w:tcW w:w="1361" w:type="dxa"/>
            <w:vAlign w:val="center"/>
          </w:tcPr>
          <w:p>
            <w:pPr>
              <w:pStyle w:val="单元格样式4"/>
            </w:pPr>
          </w:p>
        </w:tc>
        <w:tc>
          <w:tcPr>
            <w:tcW w:w="1361" w:type="dxa"/>
            <w:vAlign w:val="center"/>
          </w:tcPr>
          <w:p>
            <w:pPr>
              <w:pStyle w:val="单元格样式4"/>
            </w:pPr>
            <w:r>
              <w:t xml:space="preserve">69.52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455.73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448.07</w:t>
            </w:r>
          </w:p>
        </w:tc>
        <w:tc>
          <w:tcPr>
            <w:tcW w:w="1474" w:type="dxa"/>
            <w:vAlign w:val="center"/>
          </w:tcPr>
          <w:p>
            <w:pPr>
              <w:pStyle w:val="单元格样式4"/>
            </w:pPr>
            <w:r>
              <w:t xml:space="preserve">448.07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7.66</w:t>
            </w:r>
          </w:p>
        </w:tc>
        <w:tc>
          <w:tcPr>
            <w:tcW w:w="1474" w:type="dxa"/>
            <w:vAlign w:val="center"/>
          </w:tcPr>
          <w:p>
            <w:pPr>
              <w:pStyle w:val="单元格样式4"/>
            </w:pPr>
            <w:r>
              <w:t xml:space="preserve">7.66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455.73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455.73</w:t>
            </w:r>
          </w:p>
        </w:tc>
        <w:tc>
          <w:tcPr>
            <w:tcW w:w="1474" w:type="dxa"/>
            <w:vAlign w:val="center"/>
          </w:tcPr>
          <w:p>
            <w:pPr>
              <w:pStyle w:val="单元格样式7"/>
            </w:pPr>
            <w:r>
              <w:t xml:space="preserve">455.73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455.73</w:t>
            </w:r>
          </w:p>
        </w:tc>
        <w:tc>
          <w:tcPr>
            <w:tcW w:w="3402" w:type="dxa"/>
            <w:vAlign w:val="center"/>
          </w:tcPr>
          <w:p>
            <w:pPr>
              <w:pStyle w:val="单元格样式6"/>
            </w:pPr>
            <w:r>
              <w:t xml:space="preserve">支出总计</w:t>
            </w:r>
          </w:p>
        </w:tc>
        <w:tc>
          <w:tcPr>
            <w:tcW w:w="1474" w:type="dxa"/>
            <w:vAlign w:val="center"/>
          </w:tcPr>
          <w:p>
            <w:pPr>
              <w:pStyle w:val="单元格样式7"/>
            </w:pPr>
            <w:r>
              <w:t xml:space="preserve">455.73</w:t>
            </w:r>
          </w:p>
        </w:tc>
        <w:tc>
          <w:tcPr>
            <w:tcW w:w="1474" w:type="dxa"/>
            <w:vAlign w:val="center"/>
          </w:tcPr>
          <w:p>
            <w:pPr>
              <w:pStyle w:val="单元格样式7"/>
            </w:pPr>
            <w:r>
              <w:t xml:space="preserve">455.73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455.73</w:t>
            </w:r>
          </w:p>
        </w:tc>
        <w:tc>
          <w:tcPr>
            <w:tcW w:w="2551" w:type="dxa"/>
            <w:vAlign w:val="center"/>
          </w:tcPr>
          <w:p>
            <w:pPr>
              <w:pStyle w:val="单元格样式7"/>
            </w:pPr>
            <w:r>
              <w:t xml:space="preserve">353.91</w:t>
            </w:r>
          </w:p>
        </w:tc>
        <w:tc>
          <w:tcPr>
            <w:tcW w:w="2551" w:type="dxa"/>
            <w:vAlign w:val="center"/>
          </w:tcPr>
          <w:p>
            <w:pPr>
              <w:pStyle w:val="单元格样式7"/>
            </w:pPr>
            <w:r>
              <w:t xml:space="preserve">101.82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448.07</w:t>
            </w:r>
          </w:p>
        </w:tc>
        <w:tc>
          <w:tcPr>
            <w:tcW w:w="2551" w:type="dxa"/>
            <w:vAlign w:val="center"/>
          </w:tcPr>
          <w:p>
            <w:pPr>
              <w:pStyle w:val="单元格样式4"/>
            </w:pPr>
            <w:r>
              <w:t xml:space="preserve">346.25</w:t>
            </w:r>
          </w:p>
        </w:tc>
        <w:tc>
          <w:tcPr>
            <w:tcW w:w="2551" w:type="dxa"/>
            <w:vAlign w:val="center"/>
          </w:tcPr>
          <w:p>
            <w:pPr>
              <w:pStyle w:val="单元格样式4"/>
            </w:pPr>
            <w:r>
              <w:t xml:space="preserve">101.82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2551" w:type="dxa"/>
            <w:vAlign w:val="center"/>
          </w:tcPr>
          <w:p>
            <w:pPr>
              <w:pStyle w:val="单元格样式4"/>
            </w:pPr>
            <w:r>
              <w:t xml:space="preserve">448.07</w:t>
            </w:r>
          </w:p>
        </w:tc>
        <w:tc>
          <w:tcPr>
            <w:tcW w:w="2551" w:type="dxa"/>
            <w:vAlign w:val="center"/>
          </w:tcPr>
          <w:p>
            <w:pPr>
              <w:pStyle w:val="单元格样式4"/>
            </w:pPr>
            <w:r>
              <w:t xml:space="preserve">346.25</w:t>
            </w:r>
          </w:p>
        </w:tc>
        <w:tc>
          <w:tcPr>
            <w:tcW w:w="2551" w:type="dxa"/>
            <w:vAlign w:val="center"/>
          </w:tcPr>
          <w:p>
            <w:pPr>
              <w:pStyle w:val="单元格样式4"/>
            </w:pPr>
            <w:r>
              <w:t xml:space="preserve">101.82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347.25</w:t>
            </w:r>
          </w:p>
        </w:tc>
        <w:tc>
          <w:tcPr>
            <w:tcW w:w="2551" w:type="dxa"/>
            <w:vAlign w:val="center"/>
          </w:tcPr>
          <w:p>
            <w:pPr>
              <w:pStyle w:val="单元格样式4"/>
            </w:pPr>
            <w:r>
              <w:t xml:space="preserve">346.25</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2010507</w:t>
            </w:r>
          </w:p>
        </w:tc>
        <w:tc>
          <w:tcPr>
            <w:tcW w:w="4535" w:type="dxa"/>
            <w:vAlign w:val="center"/>
          </w:tcPr>
          <w:p>
            <w:pPr>
              <w:pStyle w:val="单元格样式2"/>
            </w:pPr>
            <w:r>
              <w:t xml:space="preserve">专项普查活动</w:t>
            </w:r>
          </w:p>
        </w:tc>
        <w:tc>
          <w:tcPr>
            <w:tcW w:w="2551" w:type="dxa"/>
            <w:vAlign w:val="center"/>
          </w:tcPr>
          <w:p>
            <w:pPr>
              <w:pStyle w:val="单元格样式4"/>
            </w:pPr>
            <w:r>
              <w:t xml:space="preserve">31.30</w:t>
            </w:r>
          </w:p>
        </w:tc>
        <w:tc>
          <w:tcPr>
            <w:tcW w:w="2551" w:type="dxa"/>
            <w:vAlign w:val="center"/>
          </w:tcPr>
          <w:p>
            <w:pPr>
              <w:pStyle w:val="单元格样式4"/>
            </w:pPr>
          </w:p>
        </w:tc>
        <w:tc>
          <w:tcPr>
            <w:tcW w:w="2551" w:type="dxa"/>
            <w:vAlign w:val="center"/>
          </w:tcPr>
          <w:p>
            <w:pPr>
              <w:pStyle w:val="单元格样式4"/>
            </w:pPr>
            <w:r>
              <w:t xml:space="preserve">31.30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2551" w:type="dxa"/>
            <w:vAlign w:val="center"/>
          </w:tcPr>
          <w:p>
            <w:pPr>
              <w:pStyle w:val="单元格样式4"/>
            </w:pPr>
            <w:r>
              <w:t xml:space="preserve">69.52</w:t>
            </w:r>
          </w:p>
        </w:tc>
        <w:tc>
          <w:tcPr>
            <w:tcW w:w="2551" w:type="dxa"/>
            <w:vAlign w:val="center"/>
          </w:tcPr>
          <w:p>
            <w:pPr>
              <w:pStyle w:val="单元格样式4"/>
            </w:pPr>
          </w:p>
        </w:tc>
        <w:tc>
          <w:tcPr>
            <w:tcW w:w="2551" w:type="dxa"/>
            <w:vAlign w:val="center"/>
          </w:tcPr>
          <w:p>
            <w:pPr>
              <w:pStyle w:val="单元格样式4"/>
            </w:pPr>
            <w:r>
              <w:t xml:space="preserve">69.52</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353.91</w:t>
            </w:r>
          </w:p>
        </w:tc>
        <w:tc>
          <w:tcPr>
            <w:tcW w:w="2551" w:type="dxa"/>
            <w:vAlign w:val="center"/>
          </w:tcPr>
          <w:p>
            <w:pPr>
              <w:pStyle w:val="单元格样式7"/>
            </w:pPr>
            <w:r>
              <w:t xml:space="preserve">325.10</w:t>
            </w:r>
          </w:p>
        </w:tc>
        <w:tc>
          <w:tcPr>
            <w:tcW w:w="2551" w:type="dxa"/>
            <w:vAlign w:val="center"/>
          </w:tcPr>
          <w:p>
            <w:pPr>
              <w:pStyle w:val="单元格样式7"/>
            </w:pPr>
            <w:r>
              <w:t xml:space="preserve">28.81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267.28</w:t>
            </w:r>
          </w:p>
        </w:tc>
        <w:tc>
          <w:tcPr>
            <w:tcW w:w="2551" w:type="dxa"/>
            <w:vAlign w:val="center"/>
          </w:tcPr>
          <w:p>
            <w:pPr>
              <w:pStyle w:val="单元格样式4"/>
            </w:pPr>
            <w:r>
              <w:t xml:space="preserve">267.28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70.71</w:t>
            </w:r>
          </w:p>
        </w:tc>
        <w:tc>
          <w:tcPr>
            <w:tcW w:w="2551" w:type="dxa"/>
            <w:vAlign w:val="center"/>
          </w:tcPr>
          <w:p>
            <w:pPr>
              <w:pStyle w:val="单元格样式4"/>
            </w:pPr>
            <w:r>
              <w:t xml:space="preserve">70.71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55.69</w:t>
            </w:r>
          </w:p>
        </w:tc>
        <w:tc>
          <w:tcPr>
            <w:tcW w:w="2551" w:type="dxa"/>
            <w:vAlign w:val="center"/>
          </w:tcPr>
          <w:p>
            <w:pPr>
              <w:pStyle w:val="单元格样式4"/>
            </w:pPr>
            <w:r>
              <w:t xml:space="preserve">55.69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64.44</w:t>
            </w:r>
          </w:p>
        </w:tc>
        <w:tc>
          <w:tcPr>
            <w:tcW w:w="2551" w:type="dxa"/>
            <w:vAlign w:val="center"/>
          </w:tcPr>
          <w:p>
            <w:pPr>
              <w:pStyle w:val="单元格样式4"/>
            </w:pPr>
            <w:r>
              <w:t xml:space="preserve">64.44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24.75</w:t>
            </w:r>
          </w:p>
        </w:tc>
        <w:tc>
          <w:tcPr>
            <w:tcW w:w="2551" w:type="dxa"/>
            <w:vAlign w:val="center"/>
          </w:tcPr>
          <w:p>
            <w:pPr>
              <w:pStyle w:val="单元格样式4"/>
            </w:pPr>
            <w:r>
              <w:t xml:space="preserve">24.75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10.60</w:t>
            </w:r>
          </w:p>
        </w:tc>
        <w:tc>
          <w:tcPr>
            <w:tcW w:w="2551" w:type="dxa"/>
            <w:vAlign w:val="center"/>
          </w:tcPr>
          <w:p>
            <w:pPr>
              <w:pStyle w:val="单元格样式4"/>
            </w:pPr>
            <w:r>
              <w:t xml:space="preserve">10.60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0.59</w:t>
            </w:r>
          </w:p>
        </w:tc>
        <w:tc>
          <w:tcPr>
            <w:tcW w:w="2551" w:type="dxa"/>
            <w:vAlign w:val="center"/>
          </w:tcPr>
          <w:p>
            <w:pPr>
              <w:pStyle w:val="单元格样式4"/>
            </w:pPr>
            <w:r>
              <w:t xml:space="preserve">0.59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23.84</w:t>
            </w:r>
          </w:p>
        </w:tc>
        <w:tc>
          <w:tcPr>
            <w:tcW w:w="2551" w:type="dxa"/>
            <w:vAlign w:val="center"/>
          </w:tcPr>
          <w:p>
            <w:pPr>
              <w:pStyle w:val="单元格样式4"/>
            </w:pPr>
            <w:r>
              <w:t xml:space="preserve">23.84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28.81</w:t>
            </w:r>
          </w:p>
        </w:tc>
        <w:tc>
          <w:tcPr>
            <w:tcW w:w="2551" w:type="dxa"/>
            <w:vAlign w:val="center"/>
          </w:tcPr>
          <w:p>
            <w:pPr>
              <w:pStyle w:val="单元格样式4"/>
            </w:pPr>
          </w:p>
        </w:tc>
        <w:tc>
          <w:tcPr>
            <w:tcW w:w="2551" w:type="dxa"/>
            <w:vAlign w:val="center"/>
          </w:tcPr>
          <w:p>
            <w:pPr>
              <w:pStyle w:val="单元格样式4"/>
            </w:pPr>
            <w:r>
              <w:t xml:space="preserve">28.81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3.73</w:t>
            </w:r>
          </w:p>
        </w:tc>
        <w:tc>
          <w:tcPr>
            <w:tcW w:w="2551" w:type="dxa"/>
            <w:vAlign w:val="center"/>
          </w:tcPr>
          <w:p>
            <w:pPr>
              <w:pStyle w:val="单元格样式4"/>
            </w:pPr>
          </w:p>
        </w:tc>
        <w:tc>
          <w:tcPr>
            <w:tcW w:w="2551" w:type="dxa"/>
            <w:vAlign w:val="center"/>
          </w:tcPr>
          <w:p>
            <w:pPr>
              <w:pStyle w:val="单元格样式4"/>
            </w:pPr>
            <w:r>
              <w:t xml:space="preserve">3.73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8.84</w:t>
            </w:r>
          </w:p>
        </w:tc>
        <w:tc>
          <w:tcPr>
            <w:tcW w:w="2551" w:type="dxa"/>
            <w:vAlign w:val="center"/>
          </w:tcPr>
          <w:p>
            <w:pPr>
              <w:pStyle w:val="单元格样式4"/>
            </w:pPr>
          </w:p>
        </w:tc>
        <w:tc>
          <w:tcPr>
            <w:tcW w:w="2551" w:type="dxa"/>
            <w:vAlign w:val="center"/>
          </w:tcPr>
          <w:p>
            <w:pPr>
              <w:pStyle w:val="单元格样式4"/>
            </w:pPr>
            <w:r>
              <w:t xml:space="preserve">8.84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2.03</w:t>
            </w:r>
          </w:p>
        </w:tc>
        <w:tc>
          <w:tcPr>
            <w:tcW w:w="2551" w:type="dxa"/>
            <w:vAlign w:val="center"/>
          </w:tcPr>
          <w:p>
            <w:pPr>
              <w:pStyle w:val="单元格样式4"/>
            </w:pPr>
          </w:p>
        </w:tc>
        <w:tc>
          <w:tcPr>
            <w:tcW w:w="2551" w:type="dxa"/>
            <w:vAlign w:val="center"/>
          </w:tcPr>
          <w:p>
            <w:pPr>
              <w:pStyle w:val="单元格样式4"/>
            </w:pPr>
            <w:r>
              <w:t xml:space="preserve">2.03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0.12</w:t>
            </w:r>
          </w:p>
        </w:tc>
        <w:tc>
          <w:tcPr>
            <w:tcW w:w="2551" w:type="dxa"/>
            <w:vAlign w:val="center"/>
          </w:tcPr>
          <w:p>
            <w:pPr>
              <w:pStyle w:val="单元格样式4"/>
            </w:pPr>
          </w:p>
        </w:tc>
        <w:tc>
          <w:tcPr>
            <w:tcW w:w="2551" w:type="dxa"/>
            <w:vAlign w:val="center"/>
          </w:tcPr>
          <w:p>
            <w:pPr>
              <w:pStyle w:val="单元格样式4"/>
            </w:pPr>
            <w:r>
              <w:t xml:space="preserve">0.12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0.36</w:t>
            </w:r>
          </w:p>
        </w:tc>
        <w:tc>
          <w:tcPr>
            <w:tcW w:w="2551" w:type="dxa"/>
            <w:vAlign w:val="center"/>
          </w:tcPr>
          <w:p>
            <w:pPr>
              <w:pStyle w:val="单元格样式4"/>
            </w:pP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0.87</w:t>
            </w:r>
          </w:p>
        </w:tc>
        <w:tc>
          <w:tcPr>
            <w:tcW w:w="2551" w:type="dxa"/>
            <w:vAlign w:val="center"/>
          </w:tcPr>
          <w:p>
            <w:pPr>
              <w:pStyle w:val="单元格样式4"/>
            </w:pPr>
          </w:p>
        </w:tc>
        <w:tc>
          <w:tcPr>
            <w:tcW w:w="2551" w:type="dxa"/>
            <w:vAlign w:val="center"/>
          </w:tcPr>
          <w:p>
            <w:pPr>
              <w:pStyle w:val="单元格样式4"/>
            </w:pPr>
            <w:r>
              <w:t xml:space="preserve">0.87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0.37</w:t>
            </w:r>
          </w:p>
        </w:tc>
        <w:tc>
          <w:tcPr>
            <w:tcW w:w="2551" w:type="dxa"/>
            <w:vAlign w:val="center"/>
          </w:tcPr>
          <w:p>
            <w:pPr>
              <w:pStyle w:val="单元格样式4"/>
            </w:pPr>
          </w:p>
        </w:tc>
        <w:tc>
          <w:tcPr>
            <w:tcW w:w="2551" w:type="dxa"/>
            <w:vAlign w:val="center"/>
          </w:tcPr>
          <w:p>
            <w:pPr>
              <w:pStyle w:val="单元格样式4"/>
            </w:pPr>
            <w:r>
              <w:t xml:space="preserve">0.37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9.24</w:t>
            </w:r>
          </w:p>
        </w:tc>
        <w:tc>
          <w:tcPr>
            <w:tcW w:w="2551" w:type="dxa"/>
            <w:vAlign w:val="center"/>
          </w:tcPr>
          <w:p>
            <w:pPr>
              <w:pStyle w:val="单元格样式4"/>
            </w:pPr>
          </w:p>
        </w:tc>
        <w:tc>
          <w:tcPr>
            <w:tcW w:w="2551" w:type="dxa"/>
            <w:vAlign w:val="center"/>
          </w:tcPr>
          <w:p>
            <w:pPr>
              <w:pStyle w:val="单元格样式4"/>
            </w:pPr>
            <w:r>
              <w:t xml:space="preserve">9.24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57.82</w:t>
            </w:r>
          </w:p>
        </w:tc>
        <w:tc>
          <w:tcPr>
            <w:tcW w:w="2551" w:type="dxa"/>
            <w:vAlign w:val="center"/>
          </w:tcPr>
          <w:p>
            <w:pPr>
              <w:pStyle w:val="单元格样式4"/>
            </w:pPr>
            <w:r>
              <w:t xml:space="preserve">57.82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57.82</w:t>
            </w:r>
          </w:p>
        </w:tc>
        <w:tc>
          <w:tcPr>
            <w:tcW w:w="2551" w:type="dxa"/>
            <w:vAlign w:val="center"/>
          </w:tcPr>
          <w:p>
            <w:pPr>
              <w:pStyle w:val="单元格样式4"/>
            </w:pPr>
            <w:r>
              <w:t xml:space="preserve">57.82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2.27</w:t>
            </w:r>
          </w:p>
        </w:tc>
        <w:tc>
          <w:tcPr>
            <w:tcW w:w="2381" w:type="dxa"/>
            <w:vAlign w:val="center"/>
          </w:tcPr>
          <w:p>
            <w:pPr>
              <w:pStyle w:val="单元格样式7"/>
            </w:pPr>
            <w:r>
              <w:t xml:space="preserve">2.27</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1.90</w:t>
            </w:r>
          </w:p>
        </w:tc>
        <w:tc>
          <w:tcPr>
            <w:tcW w:w="2381" w:type="dxa"/>
            <w:vAlign w:val="center"/>
          </w:tcPr>
          <w:p>
            <w:pPr>
              <w:pStyle w:val="单元格样式4"/>
            </w:pPr>
            <w:r>
              <w:t xml:space="preserve">1.90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1.90</w:t>
            </w:r>
          </w:p>
        </w:tc>
        <w:tc>
          <w:tcPr>
            <w:tcW w:w="2381" w:type="dxa"/>
            <w:vAlign w:val="center"/>
          </w:tcPr>
          <w:p>
            <w:pPr>
              <w:pStyle w:val="单元格样式4"/>
            </w:pPr>
            <w:r>
              <w:t xml:space="preserve">1.90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0.37</w:t>
            </w:r>
          </w:p>
        </w:tc>
        <w:tc>
          <w:tcPr>
            <w:tcW w:w="2381" w:type="dxa"/>
            <w:vAlign w:val="center"/>
          </w:tcPr>
          <w:p>
            <w:pPr>
              <w:pStyle w:val="单元格样式4"/>
            </w:pPr>
            <w:r>
              <w:t xml:space="preserve">0.37</w:t>
            </w: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新华区统计局2026年部门预算信息公开情况说明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新华区统计局2026年部门预算信息公开情况说明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按照《中华人民共和国预算法》、《地方预决算公开操作规程》和《关于进一步推进预算公开工作的实施意见》规定，现将新华区统计局2026年部门预算公开如下：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新华区统计局（本级）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坚持以习近平新时代中国特色社会主义思想为指导，深入贯彻党二十大精神，围绕区委、区政府和国家、省、市统计局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法治宣传教育，提高社会公众对统计法的认识。加强统计执法检查监督，依纪依法查处统计违法案件。认真落实中央和省委要求，组织开展好整治统计造假专项行动。严格执行数据质量管理办法，规范数据生产流程，加强基础数据质量管理。为推进国家治理体系和治理能力现代化提供坚实统计保障，为新时代全面建设经济强区、魅力新华贡献统计智慧和力量。</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1、国情国力普查及重要调查</w:t>
      </w:r>
    </w:p>
    <w:p>
      <w:pPr>
        <w:pStyle w:val="插入文本样式-插入职责分类绩效目标文件"/>
      </w:pPr>
      <w:r>
        <w:t xml:space="preserve">绩效目标：按照国家统计局、财政部关于印发《关于统计部门周期性普查和大型调查经费开支问题的暂行规定》，完成人口普查资料开发工作，确保人口普查工作的顺利完成。严格执行数据质量管理办法，规范数据生产流程，加强基础数据质量管理。</w:t>
      </w:r>
    </w:p>
    <w:p>
      <w:pPr>
        <w:pStyle w:val="插入文本样式-插入职责分类绩效目标文件"/>
      </w:pPr>
      <w:r>
        <w:t xml:space="preserve">绩效指标：经济普查统计资料开发编印1种；统计分析报告不少于2篇；年度预算资金执行率不低于90%。</w:t>
      </w:r>
    </w:p>
    <w:p>
      <w:pPr>
        <w:pStyle w:val="插入文本样式-插入职责分类绩效目标文件"/>
      </w:pPr>
      <w:r>
        <w:t xml:space="preserve">2、专项统计调查</w:t>
      </w:r>
    </w:p>
    <w:p>
      <w:pPr>
        <w:pStyle w:val="插入文本样式-插入职责分类绩效目标文件"/>
      </w:pPr>
      <w:r>
        <w:t xml:space="preserve">绩效目标：组织开展服务业统计、劳动力调查、1%人口抽样调查统计、城乡一体化等专项统计调查工作；完成统计数据采集及辖区各单位统计数据确认，进行统计科学研究和统计分析，为经济决策提供依据。严格执行数据质量管理办法，规范数据生产流程，加强基础数据质量管理。</w:t>
      </w:r>
    </w:p>
    <w:p>
      <w:pPr>
        <w:pStyle w:val="插入文本样式-插入职责分类绩效目标文件"/>
      </w:pPr>
      <w:r>
        <w:t xml:space="preserve">绩效指标：统计信息发布不少于2篇；确保统计数据采集、全区及各街道办事处数据确认12次；年度预算资金执行率不低于90%。</w:t>
      </w:r>
    </w:p>
    <w:p>
      <w:pPr>
        <w:pStyle w:val="插入文本样式-插入职责分类绩效目标文件"/>
      </w:pPr>
      <w:r>
        <w:t xml:space="preserve">3、统计政务管理</w:t>
      </w:r>
    </w:p>
    <w:p>
      <w:pPr>
        <w:pStyle w:val="插入文本样式-插入职责分类绩效目标文件"/>
      </w:pPr>
      <w:r>
        <w:t xml:space="preserve">绩效目标：为了服务于全区经济建设，更好地为各级领导提供决策依据，实现各级职能部门之间的资源共享，同时也便于各部门历史资料的留存。编制新华区《2024年统计年鉴》。</w:t>
      </w:r>
    </w:p>
    <w:p>
      <w:pPr>
        <w:pStyle w:val="插入文本样式-插入职责分类绩效目标文件"/>
      </w:pPr>
      <w:r>
        <w:t xml:space="preserve">健全全区统计法制建设，严格查处统计违法现象；加强统计执法检查监督，依纪依法查处统计违法案件。认真落实中央和省委要求，组织开展好整治统计造假专项行动。保障统计资料科学管理与应用和机关正常运转。</w:t>
      </w:r>
    </w:p>
    <w:p>
      <w:pPr>
        <w:pStyle w:val="插入文本样式-插入职责分类绩效目标文件"/>
      </w:pPr>
      <w:r>
        <w:t xml:space="preserve">绩效指标：统计年鉴资料征集种类不低于15类；资料服务满意度不低于90%；年度预算资金执行率不低于90%。</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完善制度建设。认真贯彻国家和省市有关财经方针、政策，根据预算绩效管理相关要求，修订和完善各项制度和办法， 2025年制定完善机关资金管理、绩效管理办法，为绩效目标的实现奠定制度基础。</w:t>
      </w:r>
    </w:p>
    <w:p>
      <w:pPr>
        <w:pStyle w:val="插入文本样式-插入实现年度发展规划目标的保障措施文件"/>
      </w:pPr>
      <w:r>
        <w:t xml:space="preserve">加强支出管理。强化协调沟通机制，由办公室督导、协调各专业人员制定详细的支出计划加快进度执行。</w:t>
      </w:r>
    </w:p>
    <w:p>
      <w:pPr>
        <w:pStyle w:val="插入文本样式-插入实现年度发展规划目标的保障措施文件"/>
      </w:pPr>
      <w:r>
        <w:t xml:space="preserve">加强绩效运行监控。按要求开展绩效运行监控，对月度达不到计划要求的，提请分管局领导专门督导。确保从3月起每月支出进度达到要求。发现问题及时采取措施，确保绩效目标如期保质实现。</w:t>
      </w:r>
    </w:p>
    <w:p>
      <w:pPr>
        <w:pStyle w:val="插入文本样式-插入实现年度发展规划目标的保障措施文件"/>
      </w:pPr>
      <w:r>
        <w:t xml:space="preserve">做好绩效自评。按要求开展2024年度部门预算绩效自评和重点评价工作，对评价中发现的问题及时整改，调整优化支出结构，提高财政资金使用效益。按要求开展绩效运行监控，每月按要求对部门整体绩效目标和预算项目绩效目标实现情况和预算执行进度进行监控，发现问题及时采取措施，确保绩效目标如期保质实现。</w:t>
      </w:r>
    </w:p>
    <w:p>
      <w:pPr>
        <w:pStyle w:val="插入文本样式-插入实现年度发展规划目标的保障措施文件"/>
      </w:pPr>
      <w:r>
        <w:t xml:space="preserve">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加强宣传培训调研等。加强人员培训，提高本部门职工业务素质；提高财会工作质量，加强调研，提出优化财政资金配置、提高资金使用效益的意见意见；加大宣传力度，强化预算绩效管理意识，促进预算绩效管理水平进一步提升。</w:t>
      </w:r>
    </w:p>
    <w:p>
      <w:pPr>
        <w:pStyle w:val="插入文本样式-插入实现年度发展规划目标的保障措施文件"/>
      </w:pP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1、1%人口变动抽样调查绩效目标表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13010526P003993100025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1%人口变动抽样调查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完成全区1%人口抽样调查，摸清人口最新情况，抽样调查工作中，以每年的11月1日零时为调查试点，此项经费用于抽样调查的宣传条幅的制作、报表的印刷，以及聘请调查员的调查劳务费。以及调查工作中的办公耗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0.76</w:t>
            </w:r>
          </w:p>
        </w:tc>
        <w:tc>
          <w:tcPr>
            <w:tcW w:w="2835" w:type="dxa"/>
            <w:vAlign w:val="center"/>
          </w:tcPr>
          <w:p>
            <w:pPr>
              <w:pStyle w:val="单元格样式3"/>
            </w:pPr>
            <w:r>
              <w:t xml:space="preserve">1.51</w:t>
            </w:r>
          </w:p>
        </w:tc>
        <w:tc>
          <w:tcPr>
            <w:tcW w:w="2551" w:type="dxa"/>
            <w:vAlign w:val="center"/>
          </w:tcPr>
          <w:p>
            <w:pPr>
              <w:pStyle w:val="单元格样式3"/>
            </w:pPr>
            <w:r>
              <w:t xml:space="preserve">2.27</w:t>
            </w:r>
          </w:p>
        </w:tc>
        <w:tc>
          <w:tcPr>
            <w:tcW w:w="3544" w:type="dxa"/>
            <w:gridSpan w:val="2"/>
            <w:vAlign w:val="center"/>
          </w:tcPr>
          <w:p>
            <w:pPr>
              <w:pStyle w:val="单元格样式3"/>
            </w:pPr>
            <w:r>
              <w:t xml:space="preserve">3.02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计划内和厅内处室委托的财政预算评审测算工作，切实提高项目单位工程预算编制水平，服务预算绩效管理改革。通过组织全省财政预算评审业务培训班和财政预算评审管理研讨会，加强全省各级评审机构业务交流，提高人员业务水平，培养高质量财政评审人才队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组织业务培训次数</w:t>
            </w:r>
          </w:p>
        </w:tc>
        <w:tc>
          <w:tcPr>
            <w:tcW w:w="5386" w:type="dxa"/>
            <w:vAlign w:val="center"/>
          </w:tcPr>
          <w:p>
            <w:pPr>
              <w:pStyle w:val="单元格样式2"/>
            </w:pPr>
            <w:r>
              <w:t xml:space="preserve">反映普查业务培训次数</w:t>
            </w:r>
          </w:p>
        </w:tc>
        <w:tc>
          <w:tcPr>
            <w:tcW w:w="2268" w:type="dxa"/>
            <w:vAlign w:val="center"/>
          </w:tcPr>
          <w:p>
            <w:pPr>
              <w:pStyle w:val="单元格样式2"/>
            </w:pPr>
            <w:r>
              <w:t xml:space="preserve">1次</w:t>
            </w:r>
          </w:p>
        </w:tc>
        <w:tc>
          <w:tcPr>
            <w:tcW w:w="1276" w:type="dxa"/>
            <w:vAlign w:val="center"/>
          </w:tcPr>
          <w:p>
            <w:pPr>
              <w:pStyle w:val="单元格样式2"/>
            </w:pPr>
            <w:r>
              <w:t xml:space="preserve">部门年度培训计划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普查事后质量抽查完成率</w:t>
            </w:r>
          </w:p>
        </w:tc>
        <w:tc>
          <w:tcPr>
            <w:tcW w:w="5386" w:type="dxa"/>
            <w:vAlign w:val="center"/>
          </w:tcPr>
          <w:p>
            <w:pPr>
              <w:pStyle w:val="单元格样式2"/>
            </w:pPr>
            <w:r>
              <w:t xml:space="preserve">反映普查登记质量事后抽查工作完成情况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普查事后质量抽查方案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≤3.02万元</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反映年度内已执行资金占总资金的比重</w:t>
            </w:r>
          </w:p>
        </w:tc>
        <w:tc>
          <w:tcPr>
            <w:tcW w:w="2268" w:type="dxa"/>
            <w:vAlign w:val="center"/>
          </w:tcPr>
          <w:p>
            <w:pPr>
              <w:pStyle w:val="单元格样式2"/>
            </w:pPr>
            <w:r>
              <w:t xml:space="preserve">≥90%</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调查方案完善度</w:t>
            </w:r>
          </w:p>
        </w:tc>
        <w:tc>
          <w:tcPr>
            <w:tcW w:w="5386" w:type="dxa"/>
            <w:vAlign w:val="center"/>
          </w:tcPr>
          <w:p>
            <w:pPr>
              <w:pStyle w:val="单元格样式2"/>
            </w:pPr>
            <w:r>
              <w:t xml:space="preserve">反映通过完善调查方案，更好为社会经济服务</w:t>
            </w:r>
          </w:p>
        </w:tc>
        <w:tc>
          <w:tcPr>
            <w:tcW w:w="2268" w:type="dxa"/>
            <w:vAlign w:val="center"/>
          </w:tcPr>
          <w:p>
            <w:pPr>
              <w:pStyle w:val="单元格样式2"/>
            </w:pPr>
            <w:r>
              <w:t xml:space="preserve">≥98%</w:t>
            </w:r>
          </w:p>
        </w:tc>
        <w:tc>
          <w:tcPr>
            <w:tcW w:w="1276" w:type="dxa"/>
            <w:vAlign w:val="center"/>
          </w:tcPr>
          <w:p>
            <w:pPr>
              <w:pStyle w:val="单元格样式2"/>
            </w:pPr>
            <w:r>
              <w:t xml:space="preserve">调查方案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2、2026劳务派遣人员工资绩效目标表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13010526P007LWU10003R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2026劳务派遣人员工资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2026劳务派遣人员工资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7.83</w:t>
            </w:r>
          </w:p>
        </w:tc>
        <w:tc>
          <w:tcPr>
            <w:tcW w:w="2835" w:type="dxa"/>
            <w:vAlign w:val="center"/>
          </w:tcPr>
          <w:p>
            <w:pPr>
              <w:pStyle w:val="单元格样式3"/>
            </w:pPr>
            <w:r>
              <w:t xml:space="preserve">15.65</w:t>
            </w:r>
          </w:p>
        </w:tc>
        <w:tc>
          <w:tcPr>
            <w:tcW w:w="2551" w:type="dxa"/>
            <w:vAlign w:val="center"/>
          </w:tcPr>
          <w:p>
            <w:pPr>
              <w:pStyle w:val="单元格样式3"/>
            </w:pPr>
            <w:r>
              <w:t xml:space="preserve">23.48</w:t>
            </w:r>
          </w:p>
        </w:tc>
        <w:tc>
          <w:tcPr>
            <w:tcW w:w="3544" w:type="dxa"/>
            <w:gridSpan w:val="2"/>
            <w:vAlign w:val="center"/>
          </w:tcPr>
          <w:p>
            <w:pPr>
              <w:pStyle w:val="单元格样式3"/>
            </w:pPr>
            <w:r>
              <w:t xml:space="preserve">31.30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1.每月登记劳务派遣人员考勤，按时上缴劳务派遣人员养老、医保等社保基金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报表上报数量</w:t>
            </w:r>
          </w:p>
        </w:tc>
        <w:tc>
          <w:tcPr>
            <w:tcW w:w="5386" w:type="dxa"/>
            <w:vAlign w:val="center"/>
          </w:tcPr>
          <w:p>
            <w:pPr>
              <w:pStyle w:val="单元格样式2"/>
            </w:pPr>
            <w:r>
              <w:t xml:space="preserve">按照人力资源社会保障局审批的劳务派遣人员编制</w:t>
            </w:r>
          </w:p>
        </w:tc>
        <w:tc>
          <w:tcPr>
            <w:tcW w:w="2268" w:type="dxa"/>
            <w:vAlign w:val="center"/>
          </w:tcPr>
          <w:p>
            <w:pPr>
              <w:pStyle w:val="单元格样式2"/>
            </w:pPr>
            <w:r>
              <w:t xml:space="preserve">≥98%</w:t>
            </w:r>
          </w:p>
        </w:tc>
        <w:tc>
          <w:tcPr>
            <w:tcW w:w="1276" w:type="dxa"/>
            <w:vAlign w:val="center"/>
          </w:tcPr>
          <w:p>
            <w:pPr>
              <w:pStyle w:val="单元格样式2"/>
            </w:pPr>
            <w:r>
              <w:t xml:space="preserve">各种报表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资金按时到位</w:t>
            </w:r>
          </w:p>
        </w:tc>
        <w:tc>
          <w:tcPr>
            <w:tcW w:w="5386" w:type="dxa"/>
            <w:vAlign w:val="center"/>
          </w:tcPr>
          <w:p>
            <w:pPr>
              <w:pStyle w:val="单元格样式2"/>
            </w:pPr>
            <w:r>
              <w:t xml:space="preserve">按考勤表按时发放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按照劳务派遣人员工作条例遵循考勤表发放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w:t>
            </w:r>
          </w:p>
        </w:tc>
        <w:tc>
          <w:tcPr>
            <w:tcW w:w="2268" w:type="dxa"/>
            <w:vAlign w:val="center"/>
          </w:tcPr>
          <w:p>
            <w:pPr>
              <w:pStyle w:val="单元格样式2"/>
            </w:pPr>
            <w:r>
              <w:t xml:space="preserve">≥90%</w:t>
            </w:r>
          </w:p>
        </w:tc>
        <w:tc>
          <w:tcPr>
            <w:tcW w:w="1276" w:type="dxa"/>
            <w:vAlign w:val="center"/>
          </w:tcPr>
          <w:p>
            <w:pPr>
              <w:pStyle w:val="单元格样式2"/>
            </w:pPr>
            <w:r>
              <w:t xml:space="preserve">部门年度决算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≤31.3万元</w:t>
            </w:r>
          </w:p>
        </w:tc>
        <w:tc>
          <w:tcPr>
            <w:tcW w:w="1276" w:type="dxa"/>
            <w:vAlign w:val="center"/>
          </w:tcPr>
          <w:p>
            <w:pPr>
              <w:pStyle w:val="单元格样式2"/>
            </w:pPr>
            <w:r>
              <w:t xml:space="preserve">预算总额不超过签订协议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w:t>
            </w:r>
          </w:p>
        </w:tc>
        <w:tc>
          <w:tcPr>
            <w:tcW w:w="5386" w:type="dxa"/>
            <w:vAlign w:val="center"/>
          </w:tcPr>
          <w:p>
            <w:pPr>
              <w:pStyle w:val="单元格样式2"/>
            </w:pPr>
            <w:r>
              <w:t xml:space="preserve">确保单位正常办公</w:t>
            </w:r>
          </w:p>
        </w:tc>
        <w:tc>
          <w:tcPr>
            <w:tcW w:w="2268" w:type="dxa"/>
            <w:vAlign w:val="center"/>
          </w:tcPr>
          <w:p>
            <w:pPr>
              <w:pStyle w:val="单元格样式2"/>
            </w:pPr>
            <w:r>
              <w:t xml:space="preserve">≥100%</w:t>
            </w:r>
          </w:p>
        </w:tc>
        <w:tc>
          <w:tcPr>
            <w:tcW w:w="1276" w:type="dxa"/>
            <w:vAlign w:val="center"/>
          </w:tcPr>
          <w:p>
            <w:pPr>
              <w:pStyle w:val="单元格样式2"/>
            </w:pPr>
            <w:r>
              <w:t xml:space="preserve">工作正常运转</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劳务派遣人员的满意度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3、城乡一化调查经费绩效目标表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13010526P0010HN10003K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城乡一化调查经费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了解居民家庭人口、就业、收入、支出、消费、手存现金、商品需求、家庭主要耐用品拥有和住房等变化情况，协助国家和各级地方政府及时掌握城市居民家庭生活情况，解决居民生活中的困难，改善居民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1.每月月初10日前，辅助调查员将所在调查小区调查户的账本送到统计局进行录入，汇集. 年中，年底要对全年的人均可支配收入进行测算，算出增长率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调查单位个数</w:t>
            </w:r>
          </w:p>
        </w:tc>
        <w:tc>
          <w:tcPr>
            <w:tcW w:w="5386" w:type="dxa"/>
            <w:vAlign w:val="center"/>
          </w:tcPr>
          <w:p>
            <w:pPr>
              <w:pStyle w:val="单元格样式2"/>
            </w:pPr>
            <w:r>
              <w:t xml:space="preserve">反映各项专项调查住户数量情况</w:t>
            </w:r>
          </w:p>
        </w:tc>
        <w:tc>
          <w:tcPr>
            <w:tcW w:w="2268" w:type="dxa"/>
            <w:vAlign w:val="center"/>
          </w:tcPr>
          <w:p>
            <w:pPr>
              <w:pStyle w:val="单元格样式2"/>
            </w:pPr>
            <w:r>
              <w:t xml:space="preserve">≥70户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反映各类专项统计调查任务的完成程度（包括各项调查报表的月报、季报、年报，完成时间及质量）</w:t>
            </w:r>
          </w:p>
        </w:tc>
        <w:tc>
          <w:tcPr>
            <w:tcW w:w="2268" w:type="dxa"/>
            <w:vAlign w:val="center"/>
          </w:tcPr>
          <w:p>
            <w:pPr>
              <w:pStyle w:val="单元格样式2"/>
            </w:pPr>
            <w:r>
              <w:t xml:space="preserve">≥100%</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≤40万元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反映年度内已执行资金与总资金的比率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部门决算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统计信息采用量</w:t>
            </w:r>
          </w:p>
        </w:tc>
        <w:tc>
          <w:tcPr>
            <w:tcW w:w="5386" w:type="dxa"/>
            <w:vAlign w:val="center"/>
          </w:tcPr>
          <w:p>
            <w:pPr>
              <w:pStyle w:val="单元格样式2"/>
            </w:pPr>
            <w:r>
              <w:t xml:space="preserve">反映统计资料为社会和经济发展提供服务情况</w:t>
            </w:r>
          </w:p>
        </w:tc>
        <w:tc>
          <w:tcPr>
            <w:tcW w:w="2268" w:type="dxa"/>
            <w:vAlign w:val="center"/>
          </w:tcPr>
          <w:p>
            <w:pPr>
              <w:pStyle w:val="单元格样式2"/>
            </w:pPr>
            <w:r>
              <w:t xml:space="preserve">≥1篇</w:t>
            </w:r>
          </w:p>
        </w:tc>
        <w:tc>
          <w:tcPr>
            <w:tcW w:w="1276" w:type="dxa"/>
            <w:vAlign w:val="center"/>
          </w:tcPr>
          <w:p>
            <w:pPr>
              <w:pStyle w:val="单元格样式2"/>
            </w:pPr>
            <w:r>
              <w:t xml:space="preserve">信息分析评比情况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4、第四次农业普查绩效目标表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13010526P00001410414U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第四次农业普查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普查的主要内容包括:农业生产条件、粮食和大食物生产情况、农业新质生产力情况、乡村发展基本情况、农村居民生活情况等。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5.00</w:t>
            </w:r>
          </w:p>
        </w:tc>
        <w:tc>
          <w:tcPr>
            <w:tcW w:w="2551" w:type="dxa"/>
            <w:vAlign w:val="center"/>
          </w:tcPr>
          <w:p>
            <w:pPr>
              <w:pStyle w:val="单元格样式3"/>
            </w:pPr>
            <w:r>
              <w:t xml:space="preserve">10.00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1.按照市局要求准时准确上报数据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调查单位个数</w:t>
            </w:r>
          </w:p>
        </w:tc>
        <w:tc>
          <w:tcPr>
            <w:tcW w:w="5386" w:type="dxa"/>
            <w:vAlign w:val="center"/>
          </w:tcPr>
          <w:p>
            <w:pPr>
              <w:pStyle w:val="单元格样式2"/>
            </w:pPr>
            <w:r>
              <w:t xml:space="preserve">反映各项专项调查住户数量情况</w:t>
            </w:r>
          </w:p>
        </w:tc>
        <w:tc>
          <w:tcPr>
            <w:tcW w:w="2268" w:type="dxa"/>
            <w:vAlign w:val="center"/>
          </w:tcPr>
          <w:p>
            <w:pPr>
              <w:pStyle w:val="单元格样式2"/>
            </w:pPr>
            <w:r>
              <w:t xml:space="preserve">100户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反映各类专项统计调查任务的完成程度（包括各项调查报表的月报、季报、年报，完成时间及质量）</w:t>
            </w:r>
          </w:p>
        </w:tc>
        <w:tc>
          <w:tcPr>
            <w:tcW w:w="2268" w:type="dxa"/>
            <w:vAlign w:val="center"/>
          </w:tcPr>
          <w:p>
            <w:pPr>
              <w:pStyle w:val="单元格样式2"/>
            </w:pPr>
            <w:r>
              <w:t xml:space="preserve">100户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反映年度内已执行资金与总资金的比率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≤15万元</w:t>
            </w:r>
          </w:p>
        </w:tc>
        <w:tc>
          <w:tcPr>
            <w:tcW w:w="1276" w:type="dxa"/>
            <w:vAlign w:val="center"/>
          </w:tcPr>
          <w:p>
            <w:pPr>
              <w:pStyle w:val="单元格样式2"/>
            </w:pPr>
            <w:r>
              <w:t xml:space="preserve">部门决算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统计信息采用量</w:t>
            </w:r>
          </w:p>
        </w:tc>
        <w:tc>
          <w:tcPr>
            <w:tcW w:w="5386" w:type="dxa"/>
            <w:vAlign w:val="center"/>
          </w:tcPr>
          <w:p>
            <w:pPr>
              <w:pStyle w:val="单元格样式2"/>
            </w:pPr>
            <w:r>
              <w:t xml:space="preserve">反映统计资料为社会和经济发展提供服务情况</w:t>
            </w:r>
          </w:p>
        </w:tc>
        <w:tc>
          <w:tcPr>
            <w:tcW w:w="2268" w:type="dxa"/>
            <w:vAlign w:val="center"/>
          </w:tcPr>
          <w:p>
            <w:pPr>
              <w:pStyle w:val="单元格样式2"/>
            </w:pPr>
            <w:r>
              <w:t xml:space="preserve">≥1篇</w:t>
            </w:r>
          </w:p>
        </w:tc>
        <w:tc>
          <w:tcPr>
            <w:tcW w:w="1276" w:type="dxa"/>
            <w:vAlign w:val="center"/>
          </w:tcPr>
          <w:p>
            <w:pPr>
              <w:pStyle w:val="单元格样式2"/>
            </w:pPr>
            <w:r>
              <w:t xml:space="preserve">信息分析评比情况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政府认可度</w:t>
            </w:r>
          </w:p>
        </w:tc>
        <w:tc>
          <w:tcPr>
            <w:tcW w:w="5386" w:type="dxa"/>
            <w:vAlign w:val="center"/>
          </w:tcPr>
          <w:p>
            <w:pPr>
              <w:pStyle w:val="单元格样式2"/>
            </w:pPr>
            <w:r>
              <w:t xml:space="preserve">反映政府和相关部门对调查数据的认可程度</w:t>
            </w:r>
          </w:p>
        </w:tc>
        <w:tc>
          <w:tcPr>
            <w:tcW w:w="2268" w:type="dxa"/>
            <w:vAlign w:val="center"/>
          </w:tcPr>
          <w:p>
            <w:pPr>
              <w:pStyle w:val="单元格样式2"/>
            </w:pPr>
            <w:r>
              <w:t xml:space="preserve">≥98%</w:t>
            </w:r>
          </w:p>
        </w:tc>
        <w:tc>
          <w:tcPr>
            <w:tcW w:w="1276" w:type="dxa"/>
            <w:vAlign w:val="center"/>
          </w:tcPr>
          <w:p>
            <w:pPr>
              <w:pStyle w:val="单元格样式2"/>
            </w:pPr>
            <w:r>
              <w:t xml:space="preserve">部门数据确认工作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5、服务业抽样调查绩效目标表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13010526P00399210002F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服务业抽样调查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服务业专项统计调查，调查全区服务行业发展情况和动态，此项经费主要用于服务业调查报表的印刷，调查工作的培训，以及调查人员劳务费补贴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1.每一季度季末，对辖区内服务业数据进行收集，汇总，上报、年终对全年服务业工作进行安排布置，培训。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专项调查单位个数</w:t>
            </w:r>
          </w:p>
        </w:tc>
        <w:tc>
          <w:tcPr>
            <w:tcW w:w="5386" w:type="dxa"/>
            <w:vAlign w:val="center"/>
          </w:tcPr>
          <w:p>
            <w:pPr>
              <w:pStyle w:val="单元格样式2"/>
            </w:pPr>
            <w:r>
              <w:t xml:space="preserve">反映专项调查单位数量情况</w:t>
            </w:r>
          </w:p>
        </w:tc>
        <w:tc>
          <w:tcPr>
            <w:tcW w:w="2268" w:type="dxa"/>
            <w:vAlign w:val="center"/>
          </w:tcPr>
          <w:p>
            <w:pPr>
              <w:pStyle w:val="单元格样式2"/>
            </w:pPr>
            <w:r>
              <w:t xml:space="preserve">≥180个</w:t>
            </w:r>
          </w:p>
        </w:tc>
        <w:tc>
          <w:tcPr>
            <w:tcW w:w="1276" w:type="dxa"/>
            <w:vAlign w:val="center"/>
          </w:tcPr>
          <w:p>
            <w:pPr>
              <w:pStyle w:val="单元格样式2"/>
            </w:pPr>
            <w:r>
              <w:t xml:space="preserve">按照市局下达文件完成调查户数量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预算资金执行率</w:t>
            </w:r>
          </w:p>
        </w:tc>
        <w:tc>
          <w:tcPr>
            <w:tcW w:w="5386" w:type="dxa"/>
            <w:vAlign w:val="center"/>
          </w:tcPr>
          <w:p>
            <w:pPr>
              <w:pStyle w:val="单元格样式2"/>
            </w:pPr>
            <w:r>
              <w:t xml:space="preserve">反映年度内已执行资金占总资金的比重</w:t>
            </w:r>
          </w:p>
        </w:tc>
        <w:tc>
          <w:tcPr>
            <w:tcW w:w="2268" w:type="dxa"/>
            <w:vAlign w:val="center"/>
          </w:tcPr>
          <w:p>
            <w:pPr>
              <w:pStyle w:val="单元格样式2"/>
            </w:pPr>
            <w:r>
              <w:t xml:space="preserve">≥90%</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数据提供及时度</w:t>
            </w:r>
          </w:p>
        </w:tc>
        <w:tc>
          <w:tcPr>
            <w:tcW w:w="5386" w:type="dxa"/>
            <w:vAlign w:val="center"/>
          </w:tcPr>
          <w:p>
            <w:pPr>
              <w:pStyle w:val="单元格样式2"/>
            </w:pPr>
            <w:r>
              <w:t xml:space="preserve">服务业调查数据对经济发展的拉动作用</w:t>
            </w:r>
          </w:p>
        </w:tc>
        <w:tc>
          <w:tcPr>
            <w:tcW w:w="2268" w:type="dxa"/>
            <w:vAlign w:val="center"/>
          </w:tcPr>
          <w:p>
            <w:pPr>
              <w:pStyle w:val="单元格样式2"/>
            </w:pPr>
            <w:r>
              <w:t xml:space="preserve">长期性</w:t>
            </w:r>
          </w:p>
        </w:tc>
        <w:tc>
          <w:tcPr>
            <w:tcW w:w="1276" w:type="dxa"/>
            <w:vAlign w:val="center"/>
          </w:tcPr>
          <w:p>
            <w:pPr>
              <w:pStyle w:val="单元格样式2"/>
            </w:pPr>
            <w:r>
              <w:t xml:space="preserve">服务业考核数据排名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6、新华区经济年鉴以及新华统计综合月报印刷绩效目标表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13010526P00001410415F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新华区经济年鉴以及新华统计综合月报印刷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用于2024年统计年鉴印刷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1.第一季度收齐各单位年鉴资料，6月底前出一稿校对。8月份开始二稿校对，补充年鉴资料，10月底前印刷完毕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预算资金执行率</w:t>
            </w:r>
          </w:p>
        </w:tc>
        <w:tc>
          <w:tcPr>
            <w:tcW w:w="5386" w:type="dxa"/>
            <w:vAlign w:val="center"/>
          </w:tcPr>
          <w:p>
            <w:pPr>
              <w:pStyle w:val="单元格样式2"/>
            </w:pPr>
            <w:r>
              <w:t xml:space="preserve">第一季度完成资料的收集，征集、整理、汇集，编撰出版物的工作量占计划量的比率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收集资料的完成时间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年鉴内统计表数量</w:t>
            </w:r>
          </w:p>
        </w:tc>
        <w:tc>
          <w:tcPr>
            <w:tcW w:w="5386" w:type="dxa"/>
            <w:vAlign w:val="center"/>
          </w:tcPr>
          <w:p>
            <w:pPr>
              <w:pStyle w:val="单元格样式2"/>
            </w:pPr>
            <w:r>
              <w:t xml:space="preserve">年鉴包括11大类86小类的内容，要收集内容完整，收集，征集、整理、汇集，编撰出版物的工作量占计划量的比率</w:t>
            </w:r>
          </w:p>
        </w:tc>
        <w:tc>
          <w:tcPr>
            <w:tcW w:w="2268" w:type="dxa"/>
            <w:vAlign w:val="center"/>
          </w:tcPr>
          <w:p>
            <w:pPr>
              <w:pStyle w:val="单元格样式2"/>
            </w:pPr>
            <w:r>
              <w:t xml:space="preserve">≥250张</w:t>
            </w:r>
          </w:p>
        </w:tc>
        <w:tc>
          <w:tcPr>
            <w:tcW w:w="1276" w:type="dxa"/>
            <w:vAlign w:val="center"/>
          </w:tcPr>
          <w:p>
            <w:pPr>
              <w:pStyle w:val="单元格样式2"/>
            </w:pPr>
            <w:r>
              <w:t xml:space="preserve">参照国家统计年鉴和相关课题研究内容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≤1万元</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年鉴数据差错率</w:t>
            </w:r>
          </w:p>
        </w:tc>
        <w:tc>
          <w:tcPr>
            <w:tcW w:w="5386" w:type="dxa"/>
            <w:vAlign w:val="center"/>
          </w:tcPr>
          <w:p>
            <w:pPr>
              <w:pStyle w:val="单元格样式2"/>
            </w:pPr>
            <w:r>
              <w:t xml:space="preserve">第三季度完成年间的印刷，出版，编撰出版物的工作量占计划量的比率</w:t>
            </w:r>
          </w:p>
        </w:tc>
        <w:tc>
          <w:tcPr>
            <w:tcW w:w="2268" w:type="dxa"/>
            <w:vAlign w:val="center"/>
          </w:tcPr>
          <w:p>
            <w:pPr>
              <w:pStyle w:val="单元格样式2"/>
            </w:pPr>
            <w:r>
              <w:t xml:space="preserve">≤0.05%</w:t>
            </w:r>
          </w:p>
        </w:tc>
        <w:tc>
          <w:tcPr>
            <w:tcW w:w="1276" w:type="dxa"/>
            <w:vAlign w:val="center"/>
          </w:tcPr>
          <w:p>
            <w:pPr>
              <w:pStyle w:val="单元格样式2"/>
            </w:pPr>
            <w:r>
              <w:t xml:space="preserve">参照国家统计年鉴和相关课题研究内容</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年鉴数据查询次数</w:t>
            </w:r>
          </w:p>
        </w:tc>
        <w:tc>
          <w:tcPr>
            <w:tcW w:w="5386" w:type="dxa"/>
            <w:vAlign w:val="center"/>
          </w:tcPr>
          <w:p>
            <w:pPr>
              <w:pStyle w:val="单元格样式2"/>
            </w:pPr>
            <w:r>
              <w:t xml:space="preserve">为社会经济发展提供参考依据，经济发展提供数据支持</w:t>
            </w:r>
          </w:p>
        </w:tc>
        <w:tc>
          <w:tcPr>
            <w:tcW w:w="2268" w:type="dxa"/>
            <w:vAlign w:val="center"/>
          </w:tcPr>
          <w:p>
            <w:pPr>
              <w:pStyle w:val="单元格样式2"/>
            </w:pPr>
            <w:r>
              <w:t xml:space="preserve">≥100次</w:t>
            </w:r>
          </w:p>
        </w:tc>
        <w:tc>
          <w:tcPr>
            <w:tcW w:w="1276" w:type="dxa"/>
            <w:vAlign w:val="center"/>
          </w:tcPr>
          <w:p>
            <w:pPr>
              <w:pStyle w:val="单元格样式2"/>
            </w:pPr>
            <w:r>
              <w:t xml:space="preserve">年鉴领取查询次数登记本</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年鉴社会满意度</w:t>
            </w:r>
          </w:p>
        </w:tc>
        <w:tc>
          <w:tcPr>
            <w:tcW w:w="5386" w:type="dxa"/>
            <w:vAlign w:val="center"/>
          </w:tcPr>
          <w:p>
            <w:pPr>
              <w:pStyle w:val="单元格样式2"/>
            </w:pPr>
            <w:r>
              <w:t xml:space="preserve">反映社会和部门对年鉴数据使用的满意程度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社会公众反馈意见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7、月度调查失业率调查绩效目标表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13010526P00399110002R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月度调查失业率调查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反应就业形势变化，每月对石家庄市城镇和乡村全部16岁以及以上常住人口，采用抽样调查方式，组织调查员以户为单位，进行调查，以每月10日0时为基准点，2025年调查样本抽取调查点17个，每个调查点抽取17户作为调查对象，17个新调查点全部启动（272户/月）列入对各省考核指标。，经费用于调查员的工作培训，调查员劳务费，抽取调查户的调查用品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1.每月对调查户的数据提供进行登录，数据采集进行汇总，录入，审核 按照市局要求按时准确上报数据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专项调查单位个数</w:t>
            </w:r>
          </w:p>
        </w:tc>
        <w:tc>
          <w:tcPr>
            <w:tcW w:w="5386" w:type="dxa"/>
            <w:vAlign w:val="center"/>
          </w:tcPr>
          <w:p>
            <w:pPr>
              <w:pStyle w:val="单元格样式2"/>
            </w:pPr>
            <w:r>
              <w:t xml:space="preserve">反映专项调查单位数量情况</w:t>
            </w:r>
          </w:p>
        </w:tc>
        <w:tc>
          <w:tcPr>
            <w:tcW w:w="2268" w:type="dxa"/>
            <w:vAlign w:val="center"/>
          </w:tcPr>
          <w:p>
            <w:pPr>
              <w:pStyle w:val="单元格样式2"/>
            </w:pPr>
            <w:r>
              <w:t xml:space="preserve">≥272个</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≤10万元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数据提供及时度</w:t>
            </w:r>
          </w:p>
        </w:tc>
        <w:tc>
          <w:tcPr>
            <w:tcW w:w="5386" w:type="dxa"/>
            <w:vAlign w:val="center"/>
          </w:tcPr>
          <w:p>
            <w:pPr>
              <w:pStyle w:val="单元格样式2"/>
            </w:pPr>
            <w:r>
              <w:t xml:space="preserve">劳动力调查数据对就业形式的拉动作用</w:t>
            </w:r>
          </w:p>
        </w:tc>
        <w:tc>
          <w:tcPr>
            <w:tcW w:w="2268" w:type="dxa"/>
            <w:vAlign w:val="center"/>
          </w:tcPr>
          <w:p>
            <w:pPr>
              <w:pStyle w:val="单元格样式2"/>
            </w:pPr>
            <w:r>
              <w:t xml:space="preserve">长期性</w:t>
            </w:r>
          </w:p>
        </w:tc>
        <w:tc>
          <w:tcPr>
            <w:tcW w:w="1276" w:type="dxa"/>
            <w:vAlign w:val="center"/>
          </w:tcPr>
          <w:p>
            <w:pPr>
              <w:pStyle w:val="单元格样式2"/>
            </w:pPr>
            <w:r>
              <w:t xml:space="preserve">劳动力调查数据排名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政府认可度</w:t>
            </w:r>
          </w:p>
        </w:tc>
        <w:tc>
          <w:tcPr>
            <w:tcW w:w="5386" w:type="dxa"/>
            <w:vAlign w:val="center"/>
          </w:tcPr>
          <w:p>
            <w:pPr>
              <w:pStyle w:val="单元格样式2"/>
            </w:pPr>
            <w:r>
              <w:t xml:space="preserve">调查数据是否能够满足于劳动力调查的最终目的，是否能够真正体现劳动力的真实情况，取得的各项经济指标是否能满足于劳动力调查的真正目的</w:t>
            </w:r>
          </w:p>
        </w:tc>
        <w:tc>
          <w:tcPr>
            <w:tcW w:w="2268" w:type="dxa"/>
            <w:vAlign w:val="center"/>
          </w:tcPr>
          <w:p>
            <w:pPr>
              <w:pStyle w:val="单元格样式2"/>
            </w:pPr>
            <w:r>
              <w:t xml:space="preserve">≥90%</w:t>
            </w:r>
          </w:p>
        </w:tc>
        <w:tc>
          <w:tcPr>
            <w:tcW w:w="1276" w:type="dxa"/>
            <w:vAlign w:val="center"/>
          </w:tcPr>
          <w:p>
            <w:pPr>
              <w:pStyle w:val="单元格样式2"/>
            </w:pPr>
            <w:r>
              <w:t xml:space="preserve">上级单位的考核</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6"/>
            </w:pPr>
            <w:r>
              <w:t xml:space="preserve">新华区统计局（本级）小计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8.39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50</w:t>
            </w:r>
          </w:p>
        </w:tc>
        <w:tc>
          <w:tcPr>
            <w:tcW w:w="850" w:type="dxa"/>
            <w:vAlign w:val="center"/>
          </w:tcPr>
          <w:p>
            <w:pPr>
              <w:pStyle w:val="单元格样式4"/>
            </w:pPr>
            <w:r>
              <w:t xml:space="preserve">0.00</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新华区统计局（含所属单位）上年末固定资产金额为0.00万元（详见下表）。本年度拟购置固定资产总额为0.00万元，已按要求列入政府采购预算，详见政府采购预算表。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410新华区统计局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2026-03-16T10:53:40Z</dcterms:created>
  <dcterms:modified xsi:type="dcterms:W3CDTF">2026-03-16T10:53:40Z</dcterms:modified>
</cp:coreProperties>
</file>