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0658804C">
      <w:pPr>
        <w:spacing w:line="560" w:lineRule="exact"/>
        <w:jc w:val="center"/>
        <w:rPr>
          <w:rFonts w:ascii="宋体" w:hAnsi="宋体" w:cs="宋体"/>
          <w:b/>
          <w:bCs/>
          <w:sz w:val="44"/>
          <w:szCs w:val="44"/>
        </w:rPr>
      </w:pPr>
    </w:p>
    <w:p w14:paraId="47D4E091">
      <w:pPr>
        <w:spacing w:line="560" w:lineRule="exact"/>
        <w:jc w:val="center"/>
        <w:rPr>
          <w:rFonts w:ascii="宋体" w:hAnsi="宋体" w:cs="宋体"/>
          <w:b/>
          <w:bCs/>
          <w:sz w:val="44"/>
          <w:szCs w:val="44"/>
        </w:rPr>
      </w:pPr>
      <w:r>
        <w:rPr>
          <w:rFonts w:hint="eastAsia" w:ascii="宋体" w:hAnsi="宋体" w:cs="宋体"/>
          <w:b/>
          <w:bCs/>
          <w:sz w:val="44"/>
          <w:szCs w:val="44"/>
          <w:lang w:val="en-US" w:eastAsia="zh-CN"/>
        </w:rPr>
        <w:t>区委组织部</w:t>
      </w:r>
    </w:p>
    <w:p w14:paraId="71578970">
      <w:pPr>
        <w:spacing w:line="560" w:lineRule="exact"/>
        <w:jc w:val="center"/>
        <w:rPr>
          <w:rFonts w:ascii="宋体" w:hAnsi="宋体" w:cs="宋体"/>
          <w:b/>
          <w:bCs/>
          <w:sz w:val="44"/>
          <w:szCs w:val="44"/>
        </w:rPr>
      </w:pPr>
      <w:r>
        <w:rPr>
          <w:rFonts w:hint="eastAsia" w:ascii="宋体" w:hAnsi="宋体" w:cs="宋体"/>
          <w:b/>
          <w:bCs/>
          <w:sz w:val="44"/>
          <w:szCs w:val="44"/>
        </w:rPr>
        <w:t>2025年度整体支出绩效自评报告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贯彻落实区委区政府《关于全面落实预算绩效管理的实施意见》（新华发〔2019〕9号）文件精神，遵循“科学性、规范性、客观性和公正性”的原则，对</w:t>
      </w:r>
      <w:r>
        <w:rPr>
          <w:rFonts w:hint="eastAsia" w:ascii="仿宋" w:hAnsi="仿宋" w:eastAsia="仿宋"/>
          <w:sz w:val="32"/>
          <w:szCs w:val="32"/>
          <w:lang w:eastAsia="zh-CN"/>
        </w:rPr>
        <w:t>区委组织部</w:t>
      </w:r>
      <w:r>
        <w:rPr>
          <w:rFonts w:hint="eastAsia" w:ascii="仿宋" w:hAnsi="仿宋" w:eastAsia="仿宋"/>
          <w:sz w:val="32"/>
          <w:szCs w:val="32"/>
        </w:rPr>
        <w:t>2025年整体支出情况实施了财政支出绩效自评价，形成本评价报告。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0E3B83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根据中央、省、市委的方针政策和区委的指示决议，结合我区情况，制定有关党的组织工作的政策规定，提出实施党的组织路线的具体措施。</w:t>
      </w:r>
    </w:p>
    <w:p w14:paraId="0DC546F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负责检查督促全区各级党组织贯彻民主集中制坚持集体领导和组织生活的情况，总结推广经验，提出改进意见和措施，并向区委作出报告。</w:t>
      </w:r>
    </w:p>
    <w:p w14:paraId="5EF186D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贯彻执行中央、省、市、区委干部路线和干部政策，改革干部制度，搞好干部管理，加强干部的考察了解，在全区范围内合理调配和使用干部，根据党的事业的需要，大力培训干部，努力提高全区干部队伍的素质。</w:t>
      </w:r>
    </w:p>
    <w:p w14:paraId="37D4A96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按照“四化”要求，在区委的领导下，调整配备和建设全区各级领导班子，按照德才兼备的标准和领导干部的基本条件，积极培养选拔优秀中青年干部担任各种领导工作。</w:t>
      </w:r>
    </w:p>
    <w:p w14:paraId="1C55E4E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搞好全区干部交流，保持各级领导班子的活力和开拓进取精神。</w:t>
      </w:r>
    </w:p>
    <w:p w14:paraId="3DC471B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6.</w:t>
      </w:r>
      <w:r>
        <w:rPr>
          <w:rFonts w:hint="eastAsia" w:ascii="仿宋" w:hAnsi="仿宋" w:eastAsia="仿宋"/>
          <w:sz w:val="32"/>
          <w:szCs w:val="32"/>
        </w:rPr>
        <w:t>积极协同区有关部门，做好离退休干部管理、安置工作，充分发挥他们的作用；认真做好知识分子和人才管理工作，充分调动他们的积极性。</w:t>
      </w:r>
    </w:p>
    <w:p w14:paraId="78DEE2C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7.</w:t>
      </w:r>
      <w:r>
        <w:rPr>
          <w:rFonts w:hint="eastAsia" w:ascii="仿宋" w:hAnsi="仿宋" w:eastAsia="仿宋"/>
          <w:sz w:val="32"/>
          <w:szCs w:val="32"/>
        </w:rPr>
        <w:t>搞好全区党员教育管理，做好发展党员工作，不断研究和加强党的基层组织的整顿和建设，努力提高全区党员干部队伍的素质，增强基层党组织的吸引力、凝聚力和战斗力。</w:t>
      </w:r>
    </w:p>
    <w:p w14:paraId="252DAB1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8.</w:t>
      </w:r>
      <w:r>
        <w:rPr>
          <w:rFonts w:hint="eastAsia" w:ascii="仿宋" w:hAnsi="仿宋" w:eastAsia="仿宋"/>
          <w:sz w:val="32"/>
          <w:szCs w:val="32"/>
        </w:rPr>
        <w:t>加强全区基层党组织领导班子建设，负责指导推广典型经验。</w:t>
      </w:r>
    </w:p>
    <w:p w14:paraId="45116E6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9.</w:t>
      </w:r>
      <w:r>
        <w:rPr>
          <w:rFonts w:hint="eastAsia" w:ascii="仿宋" w:hAnsi="仿宋" w:eastAsia="仿宋"/>
          <w:sz w:val="32"/>
          <w:szCs w:val="32"/>
        </w:rPr>
        <w:t>研究拟定全区干部考核奖惩工作的有关政策、规定和区直各部门、各办事处党政领导班子、领导干部的年度考核方案。</w:t>
      </w:r>
    </w:p>
    <w:p w14:paraId="4ECE2A5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10.</w:t>
      </w:r>
      <w:r>
        <w:rPr>
          <w:rFonts w:hint="eastAsia" w:ascii="仿宋" w:hAnsi="仿宋" w:eastAsia="仿宋"/>
          <w:sz w:val="32"/>
          <w:szCs w:val="32"/>
        </w:rPr>
        <w:t>负责市下达我区考核目标的分解、协调。</w:t>
      </w:r>
    </w:p>
    <w:p w14:paraId="0E0F2DC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11.</w:t>
      </w:r>
      <w:r>
        <w:rPr>
          <w:rFonts w:hint="eastAsia" w:ascii="仿宋" w:hAnsi="仿宋" w:eastAsia="仿宋"/>
          <w:sz w:val="32"/>
          <w:szCs w:val="32"/>
        </w:rPr>
        <w:t>负责制定区直各部门、各办事处领导班子和领导干部考核目标的运行监控。</w:t>
      </w:r>
    </w:p>
    <w:p w14:paraId="05997AA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12.</w:t>
      </w:r>
      <w:r>
        <w:rPr>
          <w:rFonts w:hint="eastAsia" w:ascii="仿宋" w:hAnsi="仿宋" w:eastAsia="仿宋"/>
          <w:sz w:val="32"/>
          <w:szCs w:val="32"/>
        </w:rPr>
        <w:t>具体组织实施对区直各部门、各办事处党政领导班子和领导干部的年度考核工作。</w:t>
      </w:r>
    </w:p>
    <w:p w14:paraId="2F20759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13.</w:t>
      </w:r>
      <w:r>
        <w:rPr>
          <w:rFonts w:hint="eastAsia" w:ascii="仿宋" w:hAnsi="仿宋" w:eastAsia="仿宋"/>
          <w:sz w:val="32"/>
          <w:szCs w:val="32"/>
        </w:rPr>
        <w:t>根据考核结果和有关规定，对考核对象提出升降、奖惩的具体建议，并负责奖惩的具体实施工作。</w:t>
      </w:r>
    </w:p>
    <w:p w14:paraId="3E006F6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14.</w:t>
      </w:r>
      <w:r>
        <w:rPr>
          <w:rFonts w:hint="eastAsia" w:ascii="仿宋" w:hAnsi="仿宋" w:eastAsia="仿宋"/>
          <w:sz w:val="32"/>
          <w:szCs w:val="32"/>
        </w:rPr>
        <w:t>完成省、市委组织部和区委交办的其他任务。</w:t>
      </w:r>
    </w:p>
    <w:p w14:paraId="21AC68A8">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6991C6B6">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2025</w:t>
      </w:r>
      <w:r>
        <w:rPr>
          <w:rFonts w:hint="eastAsia" w:ascii="仿宋" w:hAnsi="仿宋" w:eastAsia="仿宋"/>
          <w:sz w:val="32"/>
          <w:szCs w:val="32"/>
        </w:rPr>
        <w:t>年预算收入</w:t>
      </w:r>
      <w:r>
        <w:rPr>
          <w:rFonts w:hint="eastAsia" w:ascii="仿宋" w:hAnsi="仿宋" w:eastAsia="仿宋"/>
          <w:sz w:val="32"/>
          <w:szCs w:val="32"/>
          <w:lang w:val="en-US" w:eastAsia="zh-CN"/>
        </w:rPr>
        <w:t>642.23万元</w:t>
      </w:r>
      <w:r>
        <w:rPr>
          <w:rFonts w:hint="eastAsia" w:ascii="仿宋" w:hAnsi="仿宋" w:eastAsia="仿宋"/>
          <w:sz w:val="32"/>
          <w:szCs w:val="32"/>
        </w:rPr>
        <w:t>，</w:t>
      </w:r>
      <w:r>
        <w:rPr>
          <w:rFonts w:hint="eastAsia" w:ascii="仿宋" w:hAnsi="仿宋" w:eastAsia="仿宋"/>
          <w:sz w:val="32"/>
          <w:szCs w:val="32"/>
          <w:lang w:eastAsia="zh-CN"/>
        </w:rPr>
        <w:t>全部为</w:t>
      </w:r>
      <w:r>
        <w:rPr>
          <w:rFonts w:hint="eastAsia" w:ascii="仿宋" w:hAnsi="仿宋" w:eastAsia="仿宋"/>
          <w:sz w:val="32"/>
          <w:szCs w:val="32"/>
        </w:rPr>
        <w:t>一般公共预算拨款</w:t>
      </w:r>
      <w:r>
        <w:rPr>
          <w:rFonts w:hint="eastAsia" w:ascii="仿宋" w:hAnsi="仿宋" w:eastAsia="仿宋"/>
          <w:sz w:val="32"/>
          <w:szCs w:val="32"/>
          <w:lang w:eastAsia="zh-CN"/>
        </w:rPr>
        <w:t>；</w:t>
      </w:r>
    </w:p>
    <w:p w14:paraId="2EA381D7">
      <w:pPr>
        <w:adjustRightInd w:val="0"/>
        <w:snapToGrid w:val="0"/>
        <w:spacing w:line="560" w:lineRule="exact"/>
        <w:ind w:firstLine="640" w:firstLineChars="200"/>
        <w:rPr>
          <w:rFonts w:hint="eastAsia" w:ascii="楷体" w:hAnsi="楷体" w:eastAsia="楷体" w:cs="楷体_GB2312"/>
          <w:bCs/>
          <w:sz w:val="32"/>
          <w:szCs w:val="32"/>
        </w:rPr>
      </w:pPr>
      <w:r>
        <w:rPr>
          <w:rFonts w:hint="eastAsia" w:ascii="仿宋" w:hAnsi="仿宋" w:eastAsia="仿宋"/>
          <w:sz w:val="32"/>
          <w:szCs w:val="32"/>
          <w:lang w:eastAsia="zh-CN"/>
        </w:rPr>
        <w:t>2025</w:t>
      </w:r>
      <w:r>
        <w:rPr>
          <w:rFonts w:hint="eastAsia" w:ascii="仿宋" w:hAnsi="仿宋" w:eastAsia="仿宋"/>
          <w:sz w:val="32"/>
          <w:szCs w:val="32"/>
        </w:rPr>
        <w:t>年支出预算</w:t>
      </w:r>
      <w:r>
        <w:rPr>
          <w:rFonts w:hint="eastAsia" w:ascii="仿宋" w:hAnsi="仿宋" w:eastAsia="仿宋"/>
          <w:sz w:val="32"/>
          <w:szCs w:val="32"/>
          <w:lang w:val="en-US" w:eastAsia="zh-CN"/>
        </w:rPr>
        <w:t>642.23</w:t>
      </w:r>
      <w:r>
        <w:rPr>
          <w:rFonts w:hint="eastAsia" w:ascii="仿宋" w:hAnsi="仿宋" w:eastAsia="仿宋"/>
          <w:sz w:val="32"/>
          <w:szCs w:val="32"/>
        </w:rPr>
        <w:t>万元，其中：基本支出</w:t>
      </w:r>
      <w:r>
        <w:rPr>
          <w:rFonts w:hint="eastAsia" w:ascii="仿宋" w:hAnsi="仿宋" w:eastAsia="仿宋"/>
          <w:sz w:val="32"/>
          <w:szCs w:val="32"/>
          <w:lang w:val="en-US" w:eastAsia="zh-CN"/>
        </w:rPr>
        <w:t>512.54</w:t>
      </w:r>
      <w:r>
        <w:rPr>
          <w:rFonts w:hint="eastAsia" w:ascii="仿宋" w:hAnsi="仿宋" w:eastAsia="仿宋"/>
          <w:sz w:val="32"/>
          <w:szCs w:val="32"/>
        </w:rPr>
        <w:t>万元，包括人员经费</w:t>
      </w:r>
      <w:r>
        <w:rPr>
          <w:rFonts w:hint="eastAsia" w:ascii="仿宋" w:hAnsi="仿宋" w:eastAsia="仿宋"/>
          <w:sz w:val="32"/>
          <w:szCs w:val="32"/>
          <w:lang w:val="en-US" w:eastAsia="zh-CN"/>
        </w:rPr>
        <w:t>483.79</w:t>
      </w:r>
      <w:r>
        <w:rPr>
          <w:rFonts w:hint="eastAsia" w:ascii="仿宋" w:hAnsi="仿宋" w:eastAsia="仿宋"/>
          <w:sz w:val="32"/>
          <w:szCs w:val="32"/>
        </w:rPr>
        <w:t>元，日常公用经费</w:t>
      </w:r>
      <w:r>
        <w:rPr>
          <w:rFonts w:hint="eastAsia" w:ascii="仿宋" w:hAnsi="仿宋" w:eastAsia="仿宋"/>
          <w:sz w:val="32"/>
          <w:szCs w:val="32"/>
          <w:lang w:val="en-US" w:eastAsia="zh-CN"/>
        </w:rPr>
        <w:t>28.75</w:t>
      </w:r>
      <w:r>
        <w:rPr>
          <w:rFonts w:hint="eastAsia" w:ascii="仿宋" w:hAnsi="仿宋" w:eastAsia="仿宋"/>
          <w:sz w:val="32"/>
          <w:szCs w:val="32"/>
        </w:rPr>
        <w:t>万元；项目</w:t>
      </w:r>
      <w:r>
        <w:rPr>
          <w:rFonts w:hint="eastAsia" w:ascii="仿宋" w:hAnsi="仿宋" w:eastAsia="仿宋"/>
          <w:sz w:val="32"/>
          <w:szCs w:val="32"/>
          <w:lang w:eastAsia="zh-CN"/>
        </w:rPr>
        <w:t>支出</w:t>
      </w:r>
      <w:r>
        <w:rPr>
          <w:rFonts w:hint="eastAsia" w:ascii="仿宋" w:hAnsi="仿宋" w:eastAsia="仿宋"/>
          <w:sz w:val="32"/>
          <w:szCs w:val="32"/>
          <w:lang w:val="en-US" w:eastAsia="zh-CN"/>
        </w:rPr>
        <w:t>129.69</w:t>
      </w:r>
      <w:r>
        <w:rPr>
          <w:rFonts w:hint="eastAsia" w:ascii="仿宋" w:hAnsi="仿宋" w:eastAsia="仿宋"/>
          <w:sz w:val="32"/>
          <w:szCs w:val="32"/>
          <w:lang w:eastAsia="zh-CN"/>
        </w:rPr>
        <w:t>万元，包括</w:t>
      </w:r>
      <w:r>
        <w:rPr>
          <w:rFonts w:hint="eastAsia" w:ascii="仿宋" w:hAnsi="仿宋" w:eastAsia="仿宋"/>
          <w:sz w:val="32"/>
          <w:szCs w:val="32"/>
          <w:lang w:val="en-US" w:eastAsia="zh-CN"/>
        </w:rPr>
        <w:t>其他组织事务支出、其他优抚支出、对村民委员会和村党支部的补助支出。</w:t>
      </w:r>
    </w:p>
    <w:p w14:paraId="1D1EDCF4">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4C5C2AC6">
      <w:pPr>
        <w:adjustRightInd w:val="0"/>
        <w:snapToGrid w:val="0"/>
        <w:spacing w:line="560" w:lineRule="exact"/>
        <w:ind w:firstLine="640" w:firstLineChars="200"/>
        <w:rPr>
          <w:rFonts w:hint="eastAsia" w:ascii="楷体" w:hAnsi="楷体" w:eastAsia="楷体" w:cs="楷体_GB2312"/>
          <w:bCs/>
          <w:sz w:val="32"/>
          <w:szCs w:val="32"/>
        </w:rPr>
      </w:pPr>
    </w:p>
    <w:tbl>
      <w:tblPr>
        <w:tblStyle w:val="4"/>
        <w:tblW w:w="9061" w:type="dxa"/>
        <w:jc w:val="center"/>
        <w:shd w:val="clear" w:color="auto" w:fill="auto"/>
        <w:tblLayout w:type="autofit"/>
        <w:tblCellMar>
          <w:top w:w="0" w:type="dxa"/>
          <w:left w:w="0" w:type="dxa"/>
          <w:bottom w:w="0" w:type="dxa"/>
          <w:right w:w="0" w:type="dxa"/>
        </w:tblCellMar>
      </w:tblPr>
      <w:tblGrid>
        <w:gridCol w:w="1207"/>
        <w:gridCol w:w="1973"/>
        <w:gridCol w:w="1539"/>
        <w:gridCol w:w="1539"/>
        <w:gridCol w:w="1259"/>
        <w:gridCol w:w="1544"/>
      </w:tblGrid>
      <w:tr w14:paraId="17A81ED9">
        <w:tblPrEx>
          <w:shd w:val="clear" w:color="auto" w:fill="auto"/>
          <w:tblCellMar>
            <w:top w:w="0" w:type="dxa"/>
            <w:left w:w="0" w:type="dxa"/>
            <w:bottom w:w="0" w:type="dxa"/>
            <w:right w:w="0" w:type="dxa"/>
          </w:tblCellMar>
        </w:tblPrEx>
        <w:trPr>
          <w:trHeight w:val="0" w:hRule="atLeast"/>
          <w:tblHeader/>
          <w:jc w:val="center"/>
        </w:trPr>
        <w:tc>
          <w:tcPr>
            <w:tcW w:w="12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5D16B95">
            <w:pPr>
              <w:keepNext w:val="0"/>
              <w:keepLines w:val="0"/>
              <w:widowControl/>
              <w:suppressLineNumbers w:val="0"/>
              <w:snapToGrid w:val="0"/>
              <w:ind w:left="0" w:leftChars="0" w:right="0" w:rightChars="0" w:firstLine="0" w:firstLineChars="0"/>
              <w:jc w:val="center"/>
              <w:textAlignment w:val="center"/>
              <w:rPr>
                <w:rFonts w:ascii="方正书宋_GBK" w:hAnsi="方正书宋_GBK" w:eastAsia="方正书宋_GBK" w:cs="方正书宋_GBK"/>
                <w:b/>
                <w:i w:val="0"/>
                <w:color w:val="000000"/>
                <w:sz w:val="21"/>
                <w:szCs w:val="21"/>
                <w:u w:val="none"/>
              </w:rPr>
            </w:pPr>
            <w:r>
              <w:rPr>
                <w:rFonts w:hint="default" w:ascii="方正书宋_GBK" w:hAnsi="方正书宋_GBK" w:eastAsia="方正书宋_GBK" w:cs="方正书宋_GBK"/>
                <w:b/>
                <w:i w:val="0"/>
                <w:color w:val="000000"/>
                <w:kern w:val="0"/>
                <w:sz w:val="21"/>
                <w:szCs w:val="21"/>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369E815">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b/>
                <w:i w:val="0"/>
                <w:color w:val="000000"/>
                <w:sz w:val="21"/>
                <w:szCs w:val="21"/>
                <w:u w:val="none"/>
              </w:rPr>
            </w:pPr>
            <w:r>
              <w:rPr>
                <w:rFonts w:hint="default" w:ascii="方正书宋_GBK" w:hAnsi="方正书宋_GBK" w:eastAsia="方正书宋_GBK" w:cs="方正书宋_GBK"/>
                <w:b/>
                <w:i w:val="0"/>
                <w:color w:val="000000"/>
                <w:kern w:val="0"/>
                <w:sz w:val="21"/>
                <w:szCs w:val="21"/>
                <w:u w:val="none"/>
                <w:lang w:val="en-US" w:eastAsia="zh-CN" w:bidi="ar"/>
              </w:rPr>
              <w:t>二级指标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953125F">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b/>
                <w:i w:val="0"/>
                <w:color w:val="000000"/>
                <w:sz w:val="21"/>
                <w:szCs w:val="21"/>
                <w:u w:val="none"/>
              </w:rPr>
            </w:pPr>
            <w:r>
              <w:rPr>
                <w:rFonts w:hint="default" w:ascii="方正书宋_GBK" w:hAnsi="方正书宋_GBK" w:eastAsia="方正书宋_GBK" w:cs="方正书宋_GBK"/>
                <w:b/>
                <w:i w:val="0"/>
                <w:color w:val="000000"/>
                <w:kern w:val="0"/>
                <w:sz w:val="21"/>
                <w:szCs w:val="21"/>
                <w:u w:val="none"/>
                <w:lang w:val="en-US" w:eastAsia="zh-CN" w:bidi="ar"/>
              </w:rPr>
              <w:t>三级指标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397BBCC">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b/>
                <w:i w:val="0"/>
                <w:color w:val="000000"/>
                <w:sz w:val="21"/>
                <w:szCs w:val="21"/>
                <w:u w:val="none"/>
              </w:rPr>
            </w:pPr>
            <w:r>
              <w:rPr>
                <w:rFonts w:hint="default" w:ascii="方正书宋_GBK" w:hAnsi="方正书宋_GBK" w:eastAsia="方正书宋_GBK" w:cs="方正书宋_GBK"/>
                <w:b/>
                <w:i w:val="0"/>
                <w:color w:val="000000"/>
                <w:kern w:val="0"/>
                <w:sz w:val="21"/>
                <w:szCs w:val="21"/>
                <w:u w:val="none"/>
                <w:lang w:val="en-US" w:eastAsia="zh-CN" w:bidi="ar"/>
              </w:rPr>
              <w:t>绩效指标描述</w:t>
            </w:r>
          </w:p>
        </w:tc>
        <w:tc>
          <w:tcPr>
            <w:tcW w:w="125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3AA7D7C2">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b/>
                <w:i w:val="0"/>
                <w:color w:val="000000"/>
                <w:sz w:val="21"/>
                <w:szCs w:val="21"/>
                <w:u w:val="none"/>
              </w:rPr>
            </w:pPr>
            <w:r>
              <w:rPr>
                <w:rFonts w:hint="default" w:ascii="方正书宋_GBK" w:hAnsi="方正书宋_GBK" w:eastAsia="方正书宋_GBK" w:cs="方正书宋_GBK"/>
                <w:b/>
                <w:i w:val="0"/>
                <w:color w:val="000000"/>
                <w:kern w:val="0"/>
                <w:sz w:val="21"/>
                <w:szCs w:val="21"/>
                <w:u w:val="none"/>
                <w:lang w:val="en-US" w:eastAsia="zh-CN" w:bidi="ar"/>
              </w:rPr>
              <w:t>指标值</w:t>
            </w:r>
          </w:p>
        </w:tc>
        <w:tc>
          <w:tcPr>
            <w:tcW w:w="154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4A86088">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b/>
                <w:i w:val="0"/>
                <w:color w:val="000000"/>
                <w:sz w:val="21"/>
                <w:szCs w:val="21"/>
                <w:u w:val="none"/>
              </w:rPr>
            </w:pPr>
            <w:r>
              <w:rPr>
                <w:rFonts w:hint="default" w:ascii="方正书宋_GBK" w:hAnsi="方正书宋_GBK" w:eastAsia="方正书宋_GBK" w:cs="方正书宋_GBK"/>
                <w:b/>
                <w:i w:val="0"/>
                <w:color w:val="000000"/>
                <w:kern w:val="0"/>
                <w:sz w:val="21"/>
                <w:szCs w:val="21"/>
                <w:u w:val="none"/>
                <w:lang w:val="en-US" w:eastAsia="zh-CN" w:bidi="ar"/>
              </w:rPr>
              <w:t>指标值确定依据</w:t>
            </w:r>
          </w:p>
        </w:tc>
      </w:tr>
      <w:tr w14:paraId="2D36C4DB">
        <w:tblPrEx>
          <w:shd w:val="clear" w:color="auto" w:fill="auto"/>
          <w:tblCellMar>
            <w:top w:w="0" w:type="dxa"/>
            <w:left w:w="0" w:type="dxa"/>
            <w:bottom w:w="0" w:type="dxa"/>
            <w:right w:w="0" w:type="dxa"/>
          </w:tblCellMar>
        </w:tblPrEx>
        <w:trPr>
          <w:trHeight w:val="0" w:hRule="atLeast"/>
          <w:jc w:val="center"/>
        </w:trPr>
        <w:tc>
          <w:tcPr>
            <w:tcW w:w="1207" w:type="dxa"/>
            <w:vMerge w:val="restart"/>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94457C6">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3FBF445">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数量指标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384AEFB">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资金完成率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BD773C8">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资金完成率</w:t>
            </w:r>
          </w:p>
        </w:tc>
        <w:tc>
          <w:tcPr>
            <w:tcW w:w="125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765627A">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≥95百分值</w:t>
            </w:r>
          </w:p>
        </w:tc>
        <w:tc>
          <w:tcPr>
            <w:tcW w:w="154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8C12446">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上级文件</w:t>
            </w:r>
          </w:p>
        </w:tc>
      </w:tr>
      <w:tr w14:paraId="45EFA862">
        <w:tblPrEx>
          <w:shd w:val="clear" w:color="auto" w:fill="auto"/>
          <w:tblCellMar>
            <w:top w:w="0" w:type="dxa"/>
            <w:left w:w="0" w:type="dxa"/>
            <w:bottom w:w="0" w:type="dxa"/>
            <w:right w:w="0" w:type="dxa"/>
          </w:tblCellMar>
        </w:tblPrEx>
        <w:trPr>
          <w:trHeight w:val="0" w:hRule="atLeast"/>
          <w:jc w:val="center"/>
        </w:trPr>
        <w:tc>
          <w:tcPr>
            <w:tcW w:w="12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7CFAAB4">
            <w:pPr>
              <w:snapToGrid w:val="0"/>
              <w:ind w:left="0" w:leftChars="0" w:right="0" w:rightChars="0" w:firstLine="0" w:firstLineChars="0"/>
              <w:jc w:val="center"/>
              <w:rPr>
                <w:rFonts w:hint="default" w:ascii="方正书宋_GBK" w:hAnsi="方正书宋_GBK" w:eastAsia="方正书宋_GBK" w:cs="方正书宋_GBK"/>
                <w:i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B4992A6">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质量指标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C1FC2D2">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资金使用达标率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7CBAD4B">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资金使用达标率</w:t>
            </w:r>
          </w:p>
        </w:tc>
        <w:tc>
          <w:tcPr>
            <w:tcW w:w="125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7C5CB7C">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≥95百分值</w:t>
            </w:r>
          </w:p>
        </w:tc>
        <w:tc>
          <w:tcPr>
            <w:tcW w:w="154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392417DA">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上级文件</w:t>
            </w:r>
          </w:p>
        </w:tc>
      </w:tr>
      <w:tr w14:paraId="2F487F75">
        <w:tblPrEx>
          <w:shd w:val="clear" w:color="auto" w:fill="auto"/>
          <w:tblCellMar>
            <w:top w:w="0" w:type="dxa"/>
            <w:left w:w="0" w:type="dxa"/>
            <w:bottom w:w="0" w:type="dxa"/>
            <w:right w:w="0" w:type="dxa"/>
          </w:tblCellMar>
        </w:tblPrEx>
        <w:trPr>
          <w:trHeight w:val="0" w:hRule="atLeast"/>
          <w:jc w:val="center"/>
        </w:trPr>
        <w:tc>
          <w:tcPr>
            <w:tcW w:w="12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DE356F6">
            <w:pPr>
              <w:snapToGrid w:val="0"/>
              <w:ind w:left="0" w:leftChars="0" w:right="0" w:rightChars="0" w:firstLine="0" w:firstLineChars="0"/>
              <w:jc w:val="center"/>
              <w:rPr>
                <w:rFonts w:hint="default" w:ascii="方正书宋_GBK" w:hAnsi="方正书宋_GBK" w:eastAsia="方正书宋_GBK" w:cs="方正书宋_GBK"/>
                <w:i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3824E5E3">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时效指标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7658D20">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资金使用及时率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719629A">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资金使用及时率</w:t>
            </w:r>
          </w:p>
        </w:tc>
        <w:tc>
          <w:tcPr>
            <w:tcW w:w="125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3C48FCC">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≥95百分值</w:t>
            </w:r>
          </w:p>
        </w:tc>
        <w:tc>
          <w:tcPr>
            <w:tcW w:w="154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EDDF391">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上级文件</w:t>
            </w:r>
          </w:p>
        </w:tc>
      </w:tr>
      <w:tr w14:paraId="04D39C9B">
        <w:tblPrEx>
          <w:shd w:val="clear" w:color="auto" w:fill="auto"/>
          <w:tblCellMar>
            <w:top w:w="0" w:type="dxa"/>
            <w:left w:w="0" w:type="dxa"/>
            <w:bottom w:w="0" w:type="dxa"/>
            <w:right w:w="0" w:type="dxa"/>
          </w:tblCellMar>
        </w:tblPrEx>
        <w:trPr>
          <w:trHeight w:val="0" w:hRule="atLeast"/>
          <w:jc w:val="center"/>
        </w:trPr>
        <w:tc>
          <w:tcPr>
            <w:tcW w:w="12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EEC21CA">
            <w:pPr>
              <w:snapToGrid w:val="0"/>
              <w:ind w:left="0" w:leftChars="0" w:right="0" w:rightChars="0" w:firstLine="0" w:firstLineChars="0"/>
              <w:jc w:val="center"/>
              <w:rPr>
                <w:rFonts w:hint="default" w:ascii="方正书宋_GBK" w:hAnsi="方正书宋_GBK" w:eastAsia="方正书宋_GBK" w:cs="方正书宋_GBK"/>
                <w:i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F66BB99">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78B718E">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完成率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646053C">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完成率</w:t>
            </w:r>
          </w:p>
        </w:tc>
        <w:tc>
          <w:tcPr>
            <w:tcW w:w="125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84BE065">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≥95百分值</w:t>
            </w:r>
          </w:p>
        </w:tc>
        <w:tc>
          <w:tcPr>
            <w:tcW w:w="154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DDE814B">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上级文件</w:t>
            </w:r>
          </w:p>
        </w:tc>
      </w:tr>
      <w:tr w14:paraId="1273F3E1">
        <w:tblPrEx>
          <w:shd w:val="clear" w:color="auto" w:fill="auto"/>
          <w:tblCellMar>
            <w:top w:w="0" w:type="dxa"/>
            <w:left w:w="0" w:type="dxa"/>
            <w:bottom w:w="0" w:type="dxa"/>
            <w:right w:w="0" w:type="dxa"/>
          </w:tblCellMar>
        </w:tblPrEx>
        <w:trPr>
          <w:trHeight w:val="0" w:hRule="atLeast"/>
          <w:jc w:val="center"/>
        </w:trPr>
        <w:tc>
          <w:tcPr>
            <w:tcW w:w="12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7FCC022">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71203C9">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社会效益指标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8454BD7">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对社会的影响</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344F2053">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对社会的影响</w:t>
            </w:r>
          </w:p>
        </w:tc>
        <w:tc>
          <w:tcPr>
            <w:tcW w:w="125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878DF46">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≥95百分值</w:t>
            </w:r>
          </w:p>
        </w:tc>
        <w:tc>
          <w:tcPr>
            <w:tcW w:w="154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708C7BC">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上级文件</w:t>
            </w:r>
          </w:p>
        </w:tc>
      </w:tr>
      <w:tr w14:paraId="65BD7D2E">
        <w:tblPrEx>
          <w:shd w:val="clear" w:color="auto" w:fill="auto"/>
          <w:tblCellMar>
            <w:top w:w="0" w:type="dxa"/>
            <w:left w:w="0" w:type="dxa"/>
            <w:bottom w:w="0" w:type="dxa"/>
            <w:right w:w="0" w:type="dxa"/>
          </w:tblCellMar>
        </w:tblPrEx>
        <w:trPr>
          <w:trHeight w:val="0" w:hRule="atLeast"/>
          <w:jc w:val="center"/>
        </w:trPr>
        <w:tc>
          <w:tcPr>
            <w:tcW w:w="12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B6FB86F">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满意度指标</w:t>
            </w:r>
          </w:p>
        </w:tc>
        <w:tc>
          <w:tcPr>
            <w:tcW w:w="197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9107121">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服务对象满意度指标</w:t>
            </w:r>
          </w:p>
        </w:tc>
        <w:tc>
          <w:tcPr>
            <w:tcW w:w="153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B8FB11F">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满意度</w:t>
            </w:r>
          </w:p>
        </w:tc>
        <w:tc>
          <w:tcPr>
            <w:tcW w:w="153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329C223">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满意度</w:t>
            </w:r>
          </w:p>
        </w:tc>
        <w:tc>
          <w:tcPr>
            <w:tcW w:w="125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EC144AE">
            <w:pPr>
              <w:keepNext w:val="0"/>
              <w:keepLines w:val="0"/>
              <w:widowControl/>
              <w:suppressLineNumbers w:val="0"/>
              <w:snapToGrid w:val="0"/>
              <w:ind w:left="0" w:leftChars="0" w:right="0" w:rightChars="0" w:firstLine="0" w:firstLineChars="0"/>
              <w:jc w:val="left"/>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≥95百分值</w:t>
            </w:r>
          </w:p>
        </w:tc>
        <w:tc>
          <w:tcPr>
            <w:tcW w:w="154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723009F">
            <w:pPr>
              <w:keepNext w:val="0"/>
              <w:keepLines w:val="0"/>
              <w:widowControl/>
              <w:suppressLineNumbers w:val="0"/>
              <w:snapToGrid w:val="0"/>
              <w:ind w:left="0" w:leftChars="0" w:right="0" w:rightChars="0" w:firstLine="0" w:firstLineChars="0"/>
              <w:jc w:val="center"/>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上级文件</w:t>
            </w:r>
          </w:p>
        </w:tc>
      </w:tr>
    </w:tbl>
    <w:p w14:paraId="599783BF">
      <w:pPr>
        <w:adjustRightInd w:val="0"/>
        <w:snapToGrid w:val="0"/>
        <w:spacing w:line="560" w:lineRule="exact"/>
        <w:rPr>
          <w:rFonts w:hint="eastAsia" w:ascii="黑体" w:hAnsi="黑体" w:eastAsia="黑体"/>
          <w:sz w:val="32"/>
          <w:szCs w:val="32"/>
        </w:rPr>
      </w:pPr>
    </w:p>
    <w:p w14:paraId="2F4A2F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5A4F82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C1B306D">
      <w:pPr>
        <w:spacing w:line="560" w:lineRule="exact"/>
        <w:rPr>
          <w:rFonts w:ascii="仿宋" w:hAnsi="仿宋" w:eastAsia="仿宋"/>
          <w:sz w:val="32"/>
          <w:szCs w:val="32"/>
        </w:rPr>
      </w:pPr>
      <w:r>
        <w:rPr>
          <w:rFonts w:hint="eastAsia" w:ascii="仿宋" w:hAnsi="仿宋" w:eastAsia="仿宋"/>
          <w:sz w:val="32"/>
          <w:szCs w:val="32"/>
        </w:rPr>
        <w:t xml:space="preserve">     自评方法过程：成立绩效自评小组，制定自评科学完整的方案，收集专项自评相关资料，分析专项使用情况，出具自评价报告。</w:t>
      </w:r>
    </w:p>
    <w:p w14:paraId="75D29E9D">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A5100C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ascii="楷体" w:hAnsi="楷体" w:eastAsia="楷体" w:cs="楷体_GB2312"/>
          <w:bCs/>
          <w:sz w:val="32"/>
          <w:szCs w:val="32"/>
        </w:rPr>
      </w:pPr>
      <w:r>
        <w:rPr>
          <w:rFonts w:hint="eastAsia" w:ascii="仿宋" w:hAnsi="仿宋" w:eastAsia="仿宋"/>
          <w:sz w:val="32"/>
          <w:szCs w:val="32"/>
        </w:rPr>
        <w:t>本次自评采用合规、科学的方法开展，全面核查项目实施及资金使用相关情况，客观评价项目整体成效，确保自评结果真实可靠。自评过程有序推进，严格遵循规范流程，依次完成资料收集、全面核查、结果梳理及报告撰写等相关工作，全程做到分工明确、流程严谨，确保自评工作符合各项要求。</w:t>
      </w: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1B1D1EEA">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参照预算绩效文本中总体绩效目标，说明整体绩效目标实现情况。</w:t>
      </w:r>
    </w:p>
    <w:p w14:paraId="51AA9BC2">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以习近平新时代中国特色社会主义思想为指导，全面贯彻新时代党的组织路线，以党的政治建设为统领，以服务中心大局为目标，以改革创新为动力，统筹推进领导班子、干部队伍、人才队伍、基层组织建设，全面提升组织工作科学化水平。一是做好农村两委正职离任补贴、建国前老党员生活定补发放工作；二是做好</w:t>
      </w:r>
      <w:r>
        <w:rPr>
          <w:rFonts w:hint="eastAsia" w:ascii="仿宋" w:hAnsi="仿宋" w:eastAsia="仿宋"/>
          <w:sz w:val="32"/>
          <w:szCs w:val="32"/>
          <w:lang w:val="en-US" w:eastAsia="zh-CN"/>
        </w:rPr>
        <w:t>干部</w:t>
      </w:r>
      <w:r>
        <w:rPr>
          <w:rFonts w:hint="eastAsia" w:ascii="仿宋" w:hAnsi="仿宋" w:eastAsia="仿宋"/>
          <w:sz w:val="32"/>
          <w:szCs w:val="32"/>
        </w:rPr>
        <w:t>培训工作；三是做好</w:t>
      </w:r>
      <w:r>
        <w:rPr>
          <w:rFonts w:hint="eastAsia" w:ascii="仿宋" w:hAnsi="仿宋" w:eastAsia="仿宋"/>
          <w:sz w:val="32"/>
          <w:szCs w:val="32"/>
          <w:lang w:val="en-US" w:eastAsia="zh-CN"/>
        </w:rPr>
        <w:t>办公室单位日常</w:t>
      </w:r>
      <w:r>
        <w:rPr>
          <w:rFonts w:hint="eastAsia" w:ascii="仿宋" w:hAnsi="仿宋" w:eastAsia="仿宋"/>
          <w:sz w:val="32"/>
          <w:szCs w:val="32"/>
        </w:rPr>
        <w:t>运行工作；四</w:t>
      </w:r>
      <w:bookmarkStart w:id="0" w:name="_GoBack"/>
      <w:bookmarkEnd w:id="0"/>
      <w:r>
        <w:rPr>
          <w:rFonts w:hint="eastAsia" w:ascii="仿宋" w:hAnsi="仿宋" w:eastAsia="仿宋"/>
          <w:sz w:val="32"/>
          <w:szCs w:val="32"/>
        </w:rPr>
        <w:t>是做好党员电教及远程教育工作；五是做好干部人事档案数字化工作；六是做好干部考核工作；七是做好工资系统维护、大组工网维护及全区干部教育培训工作；八是做好全区人才绿卡服务管理工作</w:t>
      </w:r>
      <w:r>
        <w:rPr>
          <w:rFonts w:hint="eastAsia" w:ascii="仿宋" w:hAnsi="仿宋" w:eastAsia="仿宋"/>
          <w:sz w:val="32"/>
          <w:szCs w:val="32"/>
          <w:lang w:eastAsia="zh-CN"/>
        </w:rPr>
        <w:t>；</w:t>
      </w:r>
      <w:r>
        <w:rPr>
          <w:rFonts w:hint="eastAsia" w:ascii="仿宋" w:hAnsi="仿宋" w:eastAsia="仿宋"/>
          <w:sz w:val="32"/>
          <w:szCs w:val="32"/>
        </w:rPr>
        <w:t>九是做好区委交办的其他任务。</w:t>
      </w:r>
    </w:p>
    <w:p w14:paraId="6B4C98D7">
      <w:pPr>
        <w:numPr>
          <w:ilvl w:val="0"/>
          <w:numId w:val="2"/>
        </w:numPr>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分项绩效目标实现情况及指标分析</w:t>
      </w:r>
    </w:p>
    <w:p w14:paraId="3E8A9EDF">
      <w:pPr>
        <w:spacing w:line="560" w:lineRule="exact"/>
        <w:ind w:firstLine="800" w:firstLineChars="250"/>
        <w:rPr>
          <w:rFonts w:ascii="仿宋" w:hAnsi="仿宋" w:eastAsia="仿宋"/>
          <w:sz w:val="32"/>
          <w:szCs w:val="32"/>
        </w:rPr>
      </w:pPr>
      <w:r>
        <w:rPr>
          <w:rFonts w:hint="eastAsia" w:ascii="仿宋" w:hAnsi="仿宋" w:eastAsia="仿宋"/>
          <w:sz w:val="32"/>
          <w:szCs w:val="32"/>
        </w:rPr>
        <w:t>参照预算绩效文本中分项绩效目标、指标，从完成数量、质量、时效、成本效益等方面，对分项目标指标完成情况进行评价，指标要细化、量化，得分依据要充分。</w:t>
      </w: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D767232">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w:t>
      </w:r>
      <w:r>
        <w:rPr>
          <w:rFonts w:hint="eastAsia" w:ascii="仿宋" w:hAnsi="仿宋" w:eastAsia="仿宋"/>
          <w:sz w:val="32"/>
          <w:szCs w:val="32"/>
          <w:lang w:val="en-US" w:eastAsia="zh-CN"/>
        </w:rPr>
        <w:t>为</w:t>
      </w:r>
      <w:r>
        <w:rPr>
          <w:rFonts w:hint="eastAsia" w:ascii="仿宋" w:hAnsi="仿宋" w:eastAsia="仿宋"/>
          <w:sz w:val="32"/>
          <w:szCs w:val="32"/>
        </w:rPr>
        <w:t>100分，部门整体支出综合绩效评价等级为优秀。</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972F63C">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2460D330">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加强资金的绩效意识，发挥资金最大效益。</w:t>
      </w:r>
    </w:p>
    <w:p w14:paraId="2E4FD2EB">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65862311">
      <w:pPr>
        <w:spacing w:line="560" w:lineRule="exact"/>
        <w:ind w:firstLine="640" w:firstLineChars="200"/>
        <w:rPr>
          <w:rFonts w:ascii="仿宋" w:hAnsi="仿宋" w:eastAsia="仿宋"/>
        </w:rPr>
      </w:pPr>
      <w:r>
        <w:rPr>
          <w:rFonts w:hint="eastAsia" w:ascii="仿宋" w:hAnsi="仿宋" w:eastAsia="仿宋"/>
          <w:sz w:val="32"/>
          <w:szCs w:val="32"/>
        </w:rPr>
        <w:t>建全项目管理制度，制定项目用款计划、预期绩效目标，充分发挥资金使用效益。</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方正书宋_GBK">
    <w:altName w:val="宋体"/>
    <w:panose1 w:val="00000000000000000000"/>
    <w:charset w:val="86"/>
    <w:family w:val="moder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53216A"/>
    <w:rsid w:val="006932BD"/>
    <w:rsid w:val="007416C6"/>
    <w:rsid w:val="007E6C1F"/>
    <w:rsid w:val="009000BE"/>
    <w:rsid w:val="00956A93"/>
    <w:rsid w:val="009E575C"/>
    <w:rsid w:val="00A024FC"/>
    <w:rsid w:val="00AF167E"/>
    <w:rsid w:val="00AF566A"/>
    <w:rsid w:val="00B478EA"/>
    <w:rsid w:val="00B6553A"/>
    <w:rsid w:val="00BC6576"/>
    <w:rsid w:val="00CE06BA"/>
    <w:rsid w:val="00F441CC"/>
    <w:rsid w:val="01B104CA"/>
    <w:rsid w:val="02106AB0"/>
    <w:rsid w:val="02B43A28"/>
    <w:rsid w:val="046F331E"/>
    <w:rsid w:val="07956271"/>
    <w:rsid w:val="09721397"/>
    <w:rsid w:val="0B3F3282"/>
    <w:rsid w:val="0BB63BED"/>
    <w:rsid w:val="0EB97A43"/>
    <w:rsid w:val="0EBD2122"/>
    <w:rsid w:val="0F214EAE"/>
    <w:rsid w:val="11B71E6A"/>
    <w:rsid w:val="1AAF0063"/>
    <w:rsid w:val="1B740D26"/>
    <w:rsid w:val="1BE140DE"/>
    <w:rsid w:val="1E542E40"/>
    <w:rsid w:val="21E179F3"/>
    <w:rsid w:val="248C197D"/>
    <w:rsid w:val="252959AF"/>
    <w:rsid w:val="277A6671"/>
    <w:rsid w:val="292D35B7"/>
    <w:rsid w:val="33EB6CFF"/>
    <w:rsid w:val="3439179E"/>
    <w:rsid w:val="35A12947"/>
    <w:rsid w:val="37387040"/>
    <w:rsid w:val="3B625C0A"/>
    <w:rsid w:val="3CEE1963"/>
    <w:rsid w:val="436B78D3"/>
    <w:rsid w:val="4C9C27FE"/>
    <w:rsid w:val="502A44B1"/>
    <w:rsid w:val="512260B4"/>
    <w:rsid w:val="52BD6ACB"/>
    <w:rsid w:val="55537534"/>
    <w:rsid w:val="561A74F1"/>
    <w:rsid w:val="58B17416"/>
    <w:rsid w:val="597244E8"/>
    <w:rsid w:val="5D6E2E59"/>
    <w:rsid w:val="5EB71C30"/>
    <w:rsid w:val="66AF0CE5"/>
    <w:rsid w:val="68AC2130"/>
    <w:rsid w:val="6AC537CF"/>
    <w:rsid w:val="6E5B14A6"/>
    <w:rsid w:val="711B255E"/>
    <w:rsid w:val="7BB51E06"/>
    <w:rsid w:val="7C387F7C"/>
    <w:rsid w:val="7D4C3E78"/>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Pages>
  <Words>1026</Words>
  <Characters>1090</Characters>
  <Lines>4</Lines>
  <Paragraphs>1</Paragraphs>
  <TotalTime>385</TotalTime>
  <ScaleCrop>false</ScaleCrop>
  <LinksUpToDate>false</LinksUpToDate>
  <CharactersWithSpaces>1095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央央</cp:lastModifiedBy>
  <cp:lastPrinted>2026-03-03T01:23:00Z</cp:lastPrinted>
  <dcterms:modified xsi:type="dcterms:W3CDTF">2026-04-21T08:52:43Z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96934721B1514D3FBAA28020338CE855_12</vt:lpwstr>
  </property>
  <property fmtid="{D5CDD505-2E9C-101B-9397-08002B2CF9AE}" pid="4" name="KSOTemplateDocerSaveRecord">
    <vt:lpwstr>eyJoZGlkIjoiNzU5NjVhNjA0YjZkNDM5Zjk0ODU2ZWJiZTM4Y2U5YzIiLCJ1c2VySWQiOiI3MDQ5NzgwODIifQ==</vt:lpwstr>
  </property>
</Properties>
</file>