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D1A5FF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 w14:paraId="3F1ED8D3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2BCEEA5C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石家庄市</w:t>
      </w:r>
      <w:r>
        <w:rPr>
          <w:rFonts w:hint="eastAsia" w:ascii="宋体" w:hAnsi="宋体" w:cs="宋体"/>
          <w:b/>
          <w:bCs/>
          <w:sz w:val="44"/>
          <w:szCs w:val="44"/>
        </w:rPr>
        <w:t>新华区市场监督管理局</w:t>
      </w:r>
    </w:p>
    <w:p w14:paraId="5B7BADD6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6CA5AEBB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49821B4E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贯彻落实区委区政府《关于全面落实预算绩效管理的实施意见》（新华发〔2019〕9号）文件精神，遵循“科学性、规范性、客观性和公正性”的原则，对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石家庄市</w:t>
      </w:r>
      <w:r>
        <w:rPr>
          <w:rFonts w:hint="eastAsia" w:ascii="仿宋" w:hAnsi="仿宋" w:eastAsia="仿宋"/>
          <w:sz w:val="32"/>
          <w:szCs w:val="32"/>
        </w:rPr>
        <w:t>新华区市场监督管理局2025年整体支出情况实施了财政支出绩效自评价，形成本评价报告。</w:t>
      </w:r>
    </w:p>
    <w:p w14:paraId="61BFAD8E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5044C605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</w:t>
      </w: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)</w:t>
      </w:r>
      <w:r>
        <w:rPr>
          <w:rFonts w:hint="eastAsia" w:ascii="楷体" w:hAnsi="楷体" w:eastAsia="楷体" w:cs="楷体_GB2312"/>
          <w:bCs/>
          <w:sz w:val="32"/>
          <w:szCs w:val="32"/>
        </w:rPr>
        <w:t>部门概况</w:t>
      </w:r>
    </w:p>
    <w:p w14:paraId="0DE59ABA">
      <w:pPr>
        <w:shd w:val="solid" w:color="FFFFFF" w:fill="auto"/>
        <w:autoSpaceDN w:val="0"/>
        <w:spacing w:line="33" w:lineRule="atLeas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项目实施单位为新华区市场监督管理局。202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_GB2312"/>
          <w:sz w:val="32"/>
          <w:szCs w:val="32"/>
        </w:rPr>
        <w:t>年我单位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仿宋_GB2312"/>
          <w:sz w:val="32"/>
          <w:szCs w:val="32"/>
        </w:rPr>
        <w:t>年初预算共计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1094.134</w:t>
      </w:r>
      <w:r>
        <w:rPr>
          <w:rFonts w:hint="eastAsia" w:ascii="仿宋" w:hAnsi="仿宋" w:eastAsia="仿宋" w:cs="仿宋_GB2312"/>
          <w:sz w:val="32"/>
          <w:szCs w:val="32"/>
        </w:rPr>
        <w:t>万元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（其中：</w:t>
      </w:r>
      <w:r>
        <w:rPr>
          <w:rFonts w:hint="eastAsia" w:ascii="仿宋" w:hAnsi="仿宋" w:eastAsia="仿宋" w:cs="仿宋_GB2312"/>
          <w:sz w:val="32"/>
          <w:szCs w:val="32"/>
        </w:rPr>
        <w:t>区级预算项目共有1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_GB2312"/>
          <w:sz w:val="32"/>
          <w:szCs w:val="32"/>
        </w:rPr>
        <w:t>个，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共计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672.134万；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上级预算项目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6个，共计422万元）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" w:hAnsi="仿宋" w:eastAsia="仿宋" w:cs="仿宋"/>
          <w:kern w:val="0"/>
          <w:sz w:val="32"/>
          <w:szCs w:val="32"/>
          <w:lang w:bidi="ar"/>
        </w:rPr>
        <w:t>资金来源为财政一般预算拨款。其中包括</w:t>
      </w:r>
      <w:r>
        <w:rPr>
          <w:rFonts w:hint="eastAsia" w:ascii="仿宋" w:hAnsi="仿宋" w:eastAsia="仿宋"/>
          <w:sz w:val="32"/>
          <w:szCs w:val="32"/>
        </w:rPr>
        <w:t>标准计量监管经费年初预算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1.5</w:t>
      </w:r>
      <w:r>
        <w:rPr>
          <w:rFonts w:hint="eastAsia" w:ascii="仿宋" w:hAnsi="仿宋" w:eastAsia="仿宋"/>
          <w:sz w:val="32"/>
          <w:szCs w:val="32"/>
        </w:rPr>
        <w:t>万元，化</w:t>
      </w:r>
      <w:r>
        <w:rPr>
          <w:rFonts w:hint="eastAsia" w:ascii="仿宋" w:hAnsi="仿宋" w:eastAsia="仿宋" w:cs="仿宋"/>
          <w:sz w:val="32"/>
          <w:szCs w:val="32"/>
        </w:rPr>
        <w:t>妆品监管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经费年初预算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val="en-US" w:eastAsia="zh-CN"/>
        </w:rPr>
        <w:t>1.5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万元</w:t>
      </w:r>
      <w:r>
        <w:rPr>
          <w:rFonts w:hint="eastAsia" w:ascii="仿宋" w:hAnsi="仿宋" w:eastAsia="仿宋" w:cs="Times New Roman"/>
          <w:sz w:val="32"/>
          <w:szCs w:val="32"/>
        </w:rPr>
        <w:t>，食品安全监管经费年初预算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2.88</w:t>
      </w:r>
      <w:r>
        <w:rPr>
          <w:rFonts w:hint="eastAsia" w:ascii="仿宋" w:hAnsi="仿宋" w:eastAsia="仿宋" w:cs="Times New Roman"/>
          <w:sz w:val="32"/>
          <w:szCs w:val="32"/>
        </w:rPr>
        <w:t>万元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，食品安全抽检经费年初预算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403万元</w:t>
      </w:r>
      <w:r>
        <w:rPr>
          <w:rFonts w:hint="eastAsia" w:ascii="仿宋" w:hAnsi="仿宋" w:eastAsia="仿宋" w:cs="Times New Roman"/>
          <w:sz w:val="32"/>
          <w:szCs w:val="32"/>
        </w:rPr>
        <w:t>，市场秩序执法经费年初预算数为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14.5</w:t>
      </w:r>
      <w:r>
        <w:rPr>
          <w:rFonts w:hint="eastAsia" w:ascii="仿宋" w:hAnsi="仿宋" w:eastAsia="仿宋" w:cs="Times New Roman"/>
          <w:sz w:val="32"/>
          <w:szCs w:val="32"/>
        </w:rPr>
        <w:t>万元，市场主体</w:t>
      </w:r>
      <w:r>
        <w:rPr>
          <w:rFonts w:hint="eastAsia" w:ascii="仿宋" w:hAnsi="仿宋" w:eastAsia="仿宋" w:cs="仿宋"/>
          <w:sz w:val="32"/>
          <w:szCs w:val="32"/>
        </w:rPr>
        <w:t>管理经费</w:t>
      </w:r>
      <w:r>
        <w:rPr>
          <w:rFonts w:hint="eastAsia" w:ascii="仿宋" w:hAnsi="仿宋" w:eastAsia="仿宋" w:cs="仿宋"/>
          <w:kern w:val="0"/>
          <w:sz w:val="32"/>
          <w:szCs w:val="32"/>
          <w:lang w:bidi="ar"/>
        </w:rPr>
        <w:t>年初预算数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20</w:t>
      </w:r>
      <w:r>
        <w:rPr>
          <w:rFonts w:hint="eastAsia" w:ascii="仿宋" w:hAnsi="仿宋" w:eastAsia="仿宋" w:cs="仿宋"/>
          <w:kern w:val="0"/>
          <w:sz w:val="32"/>
          <w:szCs w:val="32"/>
          <w:lang w:bidi="ar"/>
        </w:rPr>
        <w:t>万元，</w:t>
      </w:r>
      <w:r>
        <w:rPr>
          <w:rFonts w:hint="eastAsia" w:ascii="仿宋" w:hAnsi="仿宋" w:eastAsia="仿宋"/>
          <w:sz w:val="32"/>
          <w:szCs w:val="32"/>
        </w:rPr>
        <w:t>特种设备</w:t>
      </w:r>
      <w:r>
        <w:rPr>
          <w:rFonts w:hint="eastAsia" w:ascii="仿宋" w:hAnsi="仿宋" w:eastAsia="仿宋"/>
          <w:sz w:val="32"/>
          <w:szCs w:val="32"/>
          <w:lang w:eastAsia="zh-CN"/>
        </w:rPr>
        <w:t>安全监管</w:t>
      </w:r>
      <w:r>
        <w:rPr>
          <w:rFonts w:hint="eastAsia" w:ascii="仿宋" w:hAnsi="仿宋" w:eastAsia="仿宋"/>
          <w:sz w:val="32"/>
          <w:szCs w:val="32"/>
        </w:rPr>
        <w:t>年初预算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万元，</w:t>
      </w:r>
      <w:r>
        <w:rPr>
          <w:rFonts w:hint="eastAsia" w:ascii="仿宋" w:hAnsi="仿宋" w:eastAsia="仿宋" w:cs="仿宋"/>
          <w:sz w:val="32"/>
          <w:szCs w:val="32"/>
        </w:rPr>
        <w:t>药品监管经费年初预算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val="en-US" w:eastAsia="zh-CN"/>
        </w:rPr>
        <w:t>0.5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万元</w:t>
      </w:r>
      <w:r>
        <w:rPr>
          <w:rFonts w:hint="eastAsia" w:ascii="仿宋" w:hAnsi="仿宋" w:eastAsia="仿宋" w:cs="仿宋"/>
          <w:kern w:val="0"/>
          <w:sz w:val="32"/>
          <w:szCs w:val="32"/>
          <w:lang w:bidi="ar"/>
        </w:rPr>
        <w:t>，</w:t>
      </w:r>
      <w:r>
        <w:rPr>
          <w:rFonts w:hint="eastAsia" w:ascii="仿宋" w:hAnsi="仿宋" w:eastAsia="仿宋" w:cs="仿宋_GB2312"/>
          <w:sz w:val="32"/>
          <w:szCs w:val="32"/>
        </w:rPr>
        <w:t>质量安全监管经费年初预算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9.5</w:t>
      </w:r>
      <w:r>
        <w:rPr>
          <w:rFonts w:hint="eastAsia" w:ascii="仿宋" w:hAnsi="仿宋" w:eastAsia="仿宋" w:cs="仿宋_GB2312"/>
          <w:sz w:val="32"/>
          <w:szCs w:val="32"/>
        </w:rPr>
        <w:t>万元，</w:t>
      </w:r>
      <w:r>
        <w:rPr>
          <w:rFonts w:hint="eastAsia" w:ascii="仿宋" w:hAnsi="仿宋" w:eastAsia="仿宋" w:cs="仿宋"/>
          <w:sz w:val="32"/>
          <w:szCs w:val="32"/>
        </w:rPr>
        <w:t>综合事务管理经费</w:t>
      </w:r>
      <w:r>
        <w:rPr>
          <w:rFonts w:hint="eastAsia" w:ascii="仿宋" w:hAnsi="仿宋" w:eastAsia="仿宋" w:cs="仿宋"/>
          <w:kern w:val="0"/>
          <w:sz w:val="32"/>
          <w:szCs w:val="32"/>
        </w:rPr>
        <w:t>年初预算数为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29</w:t>
      </w:r>
      <w:r>
        <w:rPr>
          <w:rFonts w:hint="eastAsia" w:ascii="仿宋" w:hAnsi="仿宋" w:eastAsia="仿宋" w:cs="仿宋"/>
          <w:kern w:val="0"/>
          <w:sz w:val="32"/>
          <w:szCs w:val="32"/>
        </w:rPr>
        <w:t>万元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，视频会议系统服务费用</w:t>
      </w:r>
      <w:r>
        <w:rPr>
          <w:rFonts w:hint="eastAsia" w:ascii="仿宋" w:hAnsi="仿宋" w:eastAsia="仿宋" w:cs="仿宋"/>
          <w:kern w:val="0"/>
          <w:sz w:val="32"/>
          <w:szCs w:val="32"/>
        </w:rPr>
        <w:t>年初预算数为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9.864</w:t>
      </w:r>
      <w:r>
        <w:rPr>
          <w:rFonts w:hint="eastAsia" w:ascii="仿宋" w:hAnsi="仿宋" w:eastAsia="仿宋" w:cs="仿宋"/>
          <w:kern w:val="0"/>
          <w:sz w:val="32"/>
          <w:szCs w:val="32"/>
        </w:rPr>
        <w:t>万元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，劳务派遣人员经费</w:t>
      </w:r>
      <w:r>
        <w:rPr>
          <w:rFonts w:hint="eastAsia" w:ascii="仿宋" w:hAnsi="仿宋" w:eastAsia="仿宋" w:cs="仿宋_GB2312"/>
          <w:sz w:val="32"/>
          <w:szCs w:val="32"/>
        </w:rPr>
        <w:t>年初预算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100.87</w:t>
      </w:r>
      <w:r>
        <w:rPr>
          <w:rFonts w:hint="eastAsia" w:ascii="仿宋" w:hAnsi="仿宋" w:eastAsia="仿宋" w:cs="仿宋_GB2312"/>
          <w:sz w:val="32"/>
          <w:szCs w:val="32"/>
        </w:rPr>
        <w:t>万元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，食药安全协管员经费</w:t>
      </w:r>
      <w:r>
        <w:rPr>
          <w:rFonts w:hint="eastAsia" w:ascii="仿宋" w:hAnsi="仿宋" w:eastAsia="仿宋" w:cs="仿宋_GB2312"/>
          <w:sz w:val="32"/>
          <w:szCs w:val="32"/>
        </w:rPr>
        <w:t>年初预算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57.12</w:t>
      </w:r>
      <w:r>
        <w:rPr>
          <w:rFonts w:hint="eastAsia" w:ascii="仿宋" w:hAnsi="仿宋" w:eastAsia="仿宋" w:cs="仿宋_GB2312"/>
          <w:sz w:val="32"/>
          <w:szCs w:val="32"/>
        </w:rPr>
        <w:t>万元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，服装配置费</w:t>
      </w:r>
      <w:r>
        <w:rPr>
          <w:rFonts w:hint="eastAsia" w:ascii="仿宋" w:hAnsi="仿宋" w:eastAsia="仿宋" w:cs="仿宋_GB2312"/>
          <w:sz w:val="32"/>
          <w:szCs w:val="32"/>
        </w:rPr>
        <w:t>年初预算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18.9</w:t>
      </w:r>
      <w:r>
        <w:rPr>
          <w:rFonts w:hint="eastAsia" w:ascii="仿宋" w:hAnsi="仿宋" w:eastAsia="仿宋" w:cs="仿宋_GB2312"/>
          <w:sz w:val="32"/>
          <w:szCs w:val="32"/>
        </w:rPr>
        <w:t>万元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石财行[2024]31号关于提前下达2025年省级市场监管补助经费49万元，石财行[2025]15号关于下达2025年市政府质量奖奖励资金200万元，石财行[2025]2号关于下达2025年市级标准化资助项目资金3万元，石财行[2025]5号关于下达2025年第一批知识产权高质量发展（商标、地理标志）奖补资金30万元，石财行[2025]17号关于下达2025年第二批知识产权高质量发展（运用促进奖补）资金70万元，石财行[2025]23号关于下达2025年第三批知识产权高质量发展（保护）奖补资金70万元</w:t>
      </w:r>
      <w:r>
        <w:rPr>
          <w:rFonts w:hint="eastAsia" w:ascii="仿宋" w:hAnsi="仿宋" w:eastAsia="仿宋" w:cs="仿宋"/>
          <w:kern w:val="0"/>
          <w:sz w:val="32"/>
          <w:szCs w:val="32"/>
        </w:rPr>
        <w:t>。</w:t>
      </w:r>
    </w:p>
    <w:p w14:paraId="448BE5CF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(二)</w:t>
      </w: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4B229372">
      <w:pPr>
        <w:shd w:val="solid" w:color="FFFFFF" w:fill="auto"/>
        <w:autoSpaceDN w:val="0"/>
        <w:spacing w:line="33" w:lineRule="atLeast"/>
        <w:ind w:firstLine="640" w:firstLineChars="200"/>
        <w:rPr>
          <w:rFonts w:hint="default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bidi="ar"/>
        </w:rPr>
        <w:t>202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 w:bidi="ar"/>
        </w:rPr>
        <w:t>5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bidi="ar"/>
        </w:rPr>
        <w:t>年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eastAsia="zh-CN" w:bidi="ar"/>
        </w:rPr>
        <w:t>年初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bidi="ar"/>
        </w:rPr>
        <w:t>预算项目资金为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1094.134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bidi="ar"/>
        </w:rPr>
        <w:t>万元，全年项目资金收入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1094.134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eastAsia="zh-CN" w:bidi="ar"/>
        </w:rPr>
        <w:t>万元，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bidi="ar"/>
        </w:rPr>
        <w:t>支出经费为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 w:bidi="ar"/>
        </w:rPr>
        <w:t>1056.849373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eastAsia="zh-CN" w:bidi="ar"/>
        </w:rPr>
        <w:t>万元。</w:t>
      </w:r>
    </w:p>
    <w:p w14:paraId="6A965A3A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</w:t>
      </w: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)</w:t>
      </w:r>
      <w:r>
        <w:rPr>
          <w:rFonts w:hint="eastAsia" w:ascii="楷体" w:hAnsi="楷体" w:eastAsia="楷体" w:cs="楷体_GB2312"/>
          <w:bCs/>
          <w:sz w:val="32"/>
          <w:szCs w:val="32"/>
        </w:rPr>
        <w:t>部门整体支出绩效目标、指标</w:t>
      </w:r>
    </w:p>
    <w:p w14:paraId="2D0EBFE4">
      <w:pPr>
        <w:pStyle w:val="9"/>
        <w:widowControl/>
        <w:shd w:val="clear" w:color="auto" w:fill="FFFFFF"/>
        <w:spacing w:before="0" w:beforeAutospacing="0" w:after="0" w:afterAutospacing="0"/>
        <w:ind w:firstLine="587"/>
        <w:jc w:val="both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_GB2312"/>
          <w:sz w:val="32"/>
          <w:szCs w:val="32"/>
        </w:rPr>
        <w:t>新华区市场监督管理局负责市场综合监督管理、组织实施质量强区战略、食品安全战略、标准化战略和知识产权战略，拟订并组织实施有关规划、规范和维护市场秩序，营造诚实守信、公平竞争的市场环境。</w:t>
      </w:r>
    </w:p>
    <w:p w14:paraId="5772AD1D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20BA598A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</w:t>
      </w: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)</w:t>
      </w:r>
      <w:r>
        <w:rPr>
          <w:rFonts w:hint="eastAsia" w:ascii="楷体" w:hAnsi="楷体" w:eastAsia="楷体" w:cs="楷体_GB2312"/>
          <w:bCs/>
          <w:sz w:val="32"/>
          <w:szCs w:val="32"/>
        </w:rPr>
        <w:t>自评的组织工作</w:t>
      </w:r>
    </w:p>
    <w:p w14:paraId="33C09D8E"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 </w:t>
      </w:r>
      <w:r>
        <w:rPr>
          <w:rFonts w:hint="eastAsia" w:ascii="仿宋" w:hAnsi="仿宋" w:eastAsia="仿宋" w:cs="仿宋_GB2312"/>
          <w:sz w:val="32"/>
          <w:szCs w:val="32"/>
        </w:rPr>
        <w:t>202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_GB2312"/>
          <w:sz w:val="32"/>
          <w:szCs w:val="32"/>
        </w:rPr>
        <w:t>年，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我</w:t>
      </w:r>
      <w:r>
        <w:rPr>
          <w:rFonts w:hint="eastAsia" w:ascii="仿宋" w:hAnsi="仿宋" w:eastAsia="仿宋" w:cs="仿宋_GB2312"/>
          <w:sz w:val="32"/>
          <w:szCs w:val="32"/>
        </w:rPr>
        <w:t>局建立了“有章可依、有章必循、违章必究”的管理机制，成立了工作领导小组，严格财务程序，强化报销环节管理，认真落实经办人、经费使用单位负责人、局领导、财务管理人员责任，为项目依法管理营造了良好的组织管理环境。</w:t>
      </w:r>
    </w:p>
    <w:p w14:paraId="3CF30314">
      <w:pPr>
        <w:numPr>
          <w:ilvl w:val="0"/>
          <w:numId w:val="0"/>
        </w:numPr>
        <w:spacing w:line="560" w:lineRule="exact"/>
        <w:ind w:left="642" w:leftChars="0" w:firstLine="0" w:firstLineChars="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kern w:val="2"/>
          <w:sz w:val="32"/>
          <w:szCs w:val="32"/>
          <w:lang w:val="en-US" w:eastAsia="zh-CN" w:bidi="ar-SA"/>
        </w:rPr>
        <w:t>（二)</w:t>
      </w: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1AE0F38D">
      <w:pPr>
        <w:pStyle w:val="10"/>
        <w:numPr>
          <w:ilvl w:val="0"/>
          <w:numId w:val="0"/>
        </w:numPr>
        <w:ind w:leftChars="400"/>
        <w:jc w:val="left"/>
        <w:rPr>
          <w:rFonts w:hint="eastAsia" w:ascii="仿宋" w:hAnsi="仿宋" w:eastAsia="仿宋" w:cs="仿宋_GB2312"/>
          <w:color w:val="000000"/>
          <w:sz w:val="32"/>
          <w:szCs w:val="32"/>
        </w:rPr>
      </w:pPr>
      <w:r>
        <w:rPr>
          <w:rFonts w:hint="eastAsia" w:ascii="仿宋" w:hAnsi="仿宋" w:eastAsia="仿宋" w:cs="仿宋_GB2312"/>
          <w:color w:val="000000"/>
          <w:sz w:val="32"/>
          <w:szCs w:val="32"/>
        </w:rPr>
        <w:t>绩效评价采取定量与定性相结合，项目实施科室自评和项</w:t>
      </w:r>
    </w:p>
    <w:p w14:paraId="6E5D599E">
      <w:pPr>
        <w:pStyle w:val="10"/>
        <w:numPr>
          <w:ilvl w:val="0"/>
          <w:numId w:val="0"/>
        </w:numPr>
        <w:jc w:val="lef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_GB2312"/>
          <w:color w:val="000000"/>
          <w:sz w:val="32"/>
          <w:szCs w:val="32"/>
        </w:rPr>
        <w:t>目绩效评价小组评价相结合，运用成本——效益比较法。针对财政支出确定的目标，将指标分成投入、产出和效果指标三类，依据完成情况确定百分比。同时运用目标预定与实施效果比较法，通过比较财政支出所产生的实际结果与预定的目标，分析完成目标的因素，从而评价财政支出绩效。绩效考核小组通过核实和审定项目的基础资料，根据绩效评价的方案、体系及方法审查项目的全部实施过程，及达到的预期效果指标，确定各指标的权数，统一评价标准，给定各指标的评分，得出项目的绩效评价结果。</w:t>
      </w:r>
    </w:p>
    <w:p w14:paraId="199DA6E1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5625A5C0">
      <w:pPr>
        <w:numPr>
          <w:ilvl w:val="0"/>
          <w:numId w:val="0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ascii="楷体" w:hAnsi="楷体" w:eastAsia="楷体" w:cs="楷体_GB2312"/>
          <w:bCs/>
          <w:kern w:val="2"/>
          <w:sz w:val="32"/>
          <w:szCs w:val="32"/>
          <w:lang w:val="en-US" w:eastAsia="zh-CN" w:bidi="ar-SA"/>
        </w:rPr>
        <w:t>（一</w:t>
      </w:r>
      <w:r>
        <w:rPr>
          <w:rFonts w:hint="eastAsia" w:ascii="楷体" w:hAnsi="楷体" w:eastAsia="楷体" w:cs="楷体_GB2312"/>
          <w:bCs/>
          <w:kern w:val="2"/>
          <w:sz w:val="32"/>
          <w:szCs w:val="32"/>
          <w:lang w:val="en-US" w:eastAsia="zh-CN" w:bidi="ar-SA"/>
        </w:rPr>
        <w:t>）</w:t>
      </w: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693EACFB">
      <w:pPr>
        <w:ind w:firstLine="640" w:firstLineChars="200"/>
        <w:rPr>
          <w:rFonts w:hint="eastAsia" w:ascii="仿宋" w:hAnsi="仿宋" w:eastAsia="仿宋" w:cs="仿宋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年市场监督管理项目严格按照预期要求完成计划，预定的绩效目标基本实现，所有项目实施顺利，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资金使用与预算基本一致，成本控制良好。</w:t>
      </w:r>
    </w:p>
    <w:p w14:paraId="027C1D8D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</w:t>
      </w: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_GB2312"/>
          <w:bCs/>
          <w:sz w:val="32"/>
          <w:szCs w:val="32"/>
        </w:rPr>
        <w:t>分项绩效目标实现情况及指标分析</w:t>
      </w:r>
    </w:p>
    <w:p w14:paraId="3B8B4046">
      <w:pPr>
        <w:pStyle w:val="9"/>
        <w:shd w:val="clear" w:color="auto" w:fill="FFFFFF"/>
        <w:spacing w:before="0" w:beforeAutospacing="0" w:after="0" w:afterAutospacing="0"/>
        <w:ind w:firstLine="590"/>
        <w:jc w:val="both"/>
        <w:rPr>
          <w:rFonts w:ascii="仿宋" w:hAnsi="仿宋" w:eastAsia="仿宋" w:cs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 xml:space="preserve"> 1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 w:eastAsia="zh-CN"/>
        </w:rPr>
        <w:t>.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标准</w:t>
      </w:r>
      <w:r>
        <w:rPr>
          <w:rFonts w:hint="eastAsia" w:ascii="仿宋" w:hAnsi="仿宋" w:eastAsia="仿宋"/>
          <w:sz w:val="32"/>
          <w:szCs w:val="32"/>
        </w:rPr>
        <w:t>计量监督管理：依据相关法律法规及部门职责开展的专项工作，</w:t>
      </w:r>
      <w:r>
        <w:rPr>
          <w:rFonts w:ascii="仿宋" w:hAnsi="仿宋" w:eastAsia="仿宋"/>
          <w:sz w:val="32"/>
          <w:szCs w:val="32"/>
        </w:rPr>
        <w:t>更好地为社会现代化建设服务，维护国家和人民的利益</w:t>
      </w:r>
      <w:r>
        <w:rPr>
          <w:rFonts w:hint="eastAsia" w:ascii="仿宋" w:hAnsi="仿宋" w:eastAsia="仿宋"/>
          <w:sz w:val="32"/>
          <w:szCs w:val="32"/>
        </w:rPr>
        <w:t>，实现公平的贸易环境</w:t>
      </w:r>
      <w:r>
        <w:rPr>
          <w:rFonts w:ascii="仿宋" w:hAnsi="仿宋" w:eastAsia="仿宋"/>
          <w:sz w:val="32"/>
          <w:szCs w:val="32"/>
        </w:rPr>
        <w:t>。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达到了项目的预期绩效目标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根据指标体系评分标准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得分为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100分。</w:t>
      </w:r>
    </w:p>
    <w:p w14:paraId="0E340CB5">
      <w:pPr>
        <w:pStyle w:val="9"/>
        <w:shd w:val="clear" w:color="auto" w:fill="FFFFFF"/>
        <w:spacing w:before="0" w:beforeAutospacing="0" w:after="0" w:afterAutospacing="0"/>
        <w:ind w:firstLine="59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 xml:space="preserve"> 2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化妆品监督管理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</w:rPr>
        <w:t>监督实施化妆品和特殊食品安全管理有关规范；依法组织指导查处化妆品违法违规行为并进行监督抽样工作。结合工作实际，制定了《202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年化妆品质量抽查检验计划》统筹安排全区202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年度化妆品抽检工作，分别对美白类、防晒类、染发类、彩妆类、儿童护肤类等类别化妆品进行抽样检测。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达到了项目的预期绩效目标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根据指标体系评分标准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得分为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100分。</w:t>
      </w:r>
    </w:p>
    <w:p w14:paraId="6DF7D75A">
      <w:pPr>
        <w:pStyle w:val="9"/>
        <w:shd w:val="clear" w:color="auto" w:fill="FFFFFF"/>
        <w:spacing w:before="0" w:beforeAutospacing="0" w:after="0" w:afterAutospacing="0"/>
        <w:ind w:firstLine="590"/>
        <w:jc w:val="both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 xml:space="preserve"> 3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 w:eastAsia="zh-CN"/>
        </w:rPr>
        <w:t>.</w:t>
      </w:r>
      <w:r>
        <w:rPr>
          <w:rFonts w:hint="eastAsia" w:ascii="仿宋" w:hAnsi="仿宋" w:eastAsia="仿宋"/>
          <w:sz w:val="32"/>
          <w:szCs w:val="32"/>
        </w:rPr>
        <w:t>市场主体管理：</w:t>
      </w:r>
      <w:r>
        <w:rPr>
          <w:rFonts w:hint="eastAsia" w:ascii="仿宋" w:hAnsi="仿宋" w:eastAsia="仿宋" w:cs="仿宋"/>
          <w:color w:val="auto"/>
          <w:kern w:val="2"/>
          <w:sz w:val="32"/>
          <w:szCs w:val="32"/>
        </w:rPr>
        <w:t>增强各类市场诚信经营意识和规范网络交易管理，维护市场秩序。促进市场主体的快速增长，主要</w:t>
      </w:r>
      <w:r>
        <w:rPr>
          <w:rFonts w:hint="eastAsia" w:ascii="仿宋" w:hAnsi="仿宋" w:eastAsia="仿宋" w:cs="仿宋_GB2312"/>
          <w:sz w:val="32"/>
          <w:szCs w:val="32"/>
        </w:rPr>
        <w:t>用于辖区</w:t>
      </w:r>
      <w:r>
        <w:rPr>
          <w:rFonts w:hint="eastAsia" w:ascii="仿宋" w:hAnsi="Times New Roman" w:eastAsia="仿宋" w:cs="仿宋"/>
          <w:sz w:val="32"/>
          <w:szCs w:val="32"/>
          <w:lang w:val="en-US" w:eastAsia="zh-CN"/>
        </w:rPr>
        <w:t>市场</w:t>
      </w:r>
      <w:r>
        <w:rPr>
          <w:rFonts w:hint="eastAsia" w:ascii="仿宋" w:hAnsi="Times New Roman" w:eastAsia="仿宋" w:cs="仿宋"/>
          <w:sz w:val="32"/>
          <w:szCs w:val="32"/>
        </w:rPr>
        <w:t>流通环节</w:t>
      </w:r>
      <w:r>
        <w:rPr>
          <w:rFonts w:hint="eastAsia" w:ascii="仿宋" w:hAnsi="仿宋" w:eastAsia="仿宋" w:cs="仿宋_GB2312"/>
          <w:sz w:val="32"/>
          <w:szCs w:val="32"/>
        </w:rPr>
        <w:t>抽检经费、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市场</w:t>
      </w:r>
      <w:r>
        <w:rPr>
          <w:rFonts w:hint="eastAsia" w:ascii="仿宋" w:hAnsi="仿宋" w:eastAsia="仿宋" w:cs="仿宋_GB2312"/>
          <w:sz w:val="32"/>
          <w:szCs w:val="32"/>
        </w:rPr>
        <w:t>执法检查保障等方面的支出。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达到了项目的预期绩效目标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根据指标体系评分标准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得分为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99分。</w:t>
      </w:r>
    </w:p>
    <w:p w14:paraId="7CA3C761">
      <w:pPr>
        <w:pStyle w:val="9"/>
        <w:shd w:val="clear" w:color="auto" w:fill="FFFFFF"/>
        <w:spacing w:before="0" w:beforeAutospacing="0" w:after="0" w:afterAutospacing="0"/>
        <w:ind w:firstLine="590"/>
        <w:jc w:val="both"/>
        <w:rPr>
          <w:rFonts w:hint="eastAsia" w:ascii="仿宋" w:hAnsi="仿宋" w:eastAsia="仿宋" w:cs="仿宋"/>
          <w:kern w:val="2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 xml:space="preserve"> 4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 w:eastAsia="zh-CN"/>
        </w:rPr>
        <w:t>.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市场秩序执法：</w:t>
      </w:r>
      <w:r>
        <w:rPr>
          <w:rFonts w:hint="eastAsia" w:ascii="仿宋" w:hAnsi="仿宋" w:eastAsia="仿宋" w:cs="仿宋"/>
          <w:kern w:val="2"/>
          <w:sz w:val="32"/>
          <w:szCs w:val="32"/>
        </w:rPr>
        <w:t>构建打击传销体系，促进社会和谐稳定，维护公平竞争的市场秩序，确保制假售假案件呈下降态势，维护公平竞争的市场秩序。建立、健全消费者权益保护机制，增强群众自我保护的消费维权意识，构建“和谐社会”。治理价格违法行为，规范收费环境和价格秩序；确保价格行政执法、处罚、审理程序合法；推行明码标价，促进明码实价；促进经营者价格自律，推进价格信用制度建设。确保依法办案，确保价格行政执法、处罚、审理程序合法。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达到了项目的预期绩效目标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根据指标体系评分标准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得分为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100分。</w:t>
      </w:r>
    </w:p>
    <w:p w14:paraId="2D92EE9D">
      <w:pPr>
        <w:pStyle w:val="9"/>
        <w:shd w:val="clear" w:color="auto" w:fill="FFFFFF"/>
        <w:spacing w:before="0" w:beforeAutospacing="0" w:after="0" w:afterAutospacing="0"/>
        <w:ind w:firstLine="590"/>
        <w:jc w:val="both"/>
        <w:rPr>
          <w:rFonts w:hint="eastAsia" w:ascii="仿宋" w:hAnsi="仿宋" w:eastAsia="仿宋" w:cs="仿宋"/>
          <w:color w:val="auto"/>
          <w:kern w:val="2"/>
          <w:sz w:val="32"/>
          <w:szCs w:val="32"/>
        </w:rPr>
      </w:pPr>
      <w:r>
        <w:rPr>
          <w:rFonts w:hint="eastAsia" w:ascii="仿宋" w:hAnsi="仿宋" w:eastAsia="仿宋" w:cs="仿宋"/>
          <w:color w:val="auto"/>
          <w:kern w:val="2"/>
          <w:sz w:val="32"/>
          <w:szCs w:val="32"/>
        </w:rPr>
        <w:t xml:space="preserve"> 5</w:t>
      </w:r>
      <w:r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食品安全抽检</w:t>
      </w:r>
      <w:r>
        <w:rPr>
          <w:rFonts w:hint="eastAsia" w:ascii="仿宋" w:hAnsi="仿宋" w:eastAsia="仿宋" w:cs="仿宋"/>
          <w:color w:val="auto"/>
          <w:kern w:val="2"/>
          <w:sz w:val="32"/>
          <w:szCs w:val="32"/>
        </w:rPr>
        <w:t>：主要用于辖区食品生产、流通、餐饮消费环节和保健食品抽检经费的支出。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达到了项目的预期绩效目标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根据指标体系评分标准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得分为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99分。</w:t>
      </w:r>
    </w:p>
    <w:p w14:paraId="2C4E97E4">
      <w:pPr>
        <w:pStyle w:val="9"/>
        <w:shd w:val="clear" w:color="auto" w:fill="FFFFFF"/>
        <w:spacing w:before="0" w:beforeAutospacing="0" w:after="0" w:afterAutospacing="0"/>
        <w:ind w:firstLine="590"/>
        <w:jc w:val="both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6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/>
          <w:sz w:val="32"/>
          <w:szCs w:val="32"/>
        </w:rPr>
        <w:t>特种设备</w:t>
      </w:r>
      <w:r>
        <w:rPr>
          <w:rFonts w:hint="eastAsia" w:ascii="仿宋" w:hAnsi="仿宋" w:eastAsia="仿宋"/>
          <w:sz w:val="32"/>
          <w:szCs w:val="32"/>
          <w:lang w:eastAsia="zh-CN"/>
        </w:rPr>
        <w:t>安全</w:t>
      </w:r>
      <w:r>
        <w:rPr>
          <w:rFonts w:hint="eastAsia" w:ascii="仿宋" w:hAnsi="仿宋" w:eastAsia="仿宋"/>
          <w:sz w:val="32"/>
          <w:szCs w:val="32"/>
        </w:rPr>
        <w:t>监管：</w:t>
      </w:r>
      <w:r>
        <w:rPr>
          <w:rFonts w:hint="eastAsia" w:ascii="仿宋" w:hAnsi="仿宋" w:eastAsia="仿宋" w:cs="仿宋_GB2312"/>
          <w:sz w:val="32"/>
          <w:szCs w:val="32"/>
        </w:rPr>
        <w:t>对辖区内的压力容器、锅炉、电梯、起重机械、厂内机动车辆、大型游乐设施等特种设备的安全监管。对辖区内的在用的特种设备进行全面的巡查监管，对重点区域、重点场所的特殊的在用特种设备重点监管、重点巡查争取巡查率达100%，保障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人民</w:t>
      </w:r>
      <w:bookmarkStart w:id="0" w:name="_GoBack"/>
      <w:bookmarkEnd w:id="0"/>
      <w:r>
        <w:rPr>
          <w:rFonts w:hint="eastAsia" w:ascii="仿宋" w:hAnsi="仿宋" w:eastAsia="仿宋" w:cs="仿宋_GB2312"/>
          <w:sz w:val="32"/>
          <w:szCs w:val="32"/>
        </w:rPr>
        <w:t>群众的生命安全,全面落实特种设备安全监管责任。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达到了项目的预期绩效目标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根据指标体系评分标准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得分为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100分。</w:t>
      </w:r>
    </w:p>
    <w:p w14:paraId="5D0EF342">
      <w:pPr>
        <w:pStyle w:val="9"/>
        <w:shd w:val="clear" w:color="auto" w:fill="FFFFFF"/>
        <w:spacing w:before="0" w:beforeAutospacing="0" w:after="0" w:afterAutospacing="0"/>
        <w:ind w:firstLine="590"/>
        <w:jc w:val="both"/>
        <w:rPr>
          <w:rFonts w:hint="eastAsia" w:ascii="仿宋" w:hAnsi="仿宋" w:eastAsia="仿宋" w:cs="仿宋_GB2312"/>
          <w:kern w:val="0"/>
          <w:sz w:val="32"/>
          <w:szCs w:val="32"/>
        </w:rPr>
      </w:pPr>
      <w:r>
        <w:rPr>
          <w:rFonts w:hint="eastAsia"/>
        </w:rPr>
        <w:t xml:space="preserve"> </w:t>
      </w:r>
      <w:r>
        <w:rPr>
          <w:rFonts w:hint="eastAsia" w:ascii="仿宋" w:hAnsi="仿宋" w:eastAsia="仿宋" w:cs="仿宋_GB2312"/>
          <w:kern w:val="0"/>
          <w:sz w:val="32"/>
          <w:szCs w:val="32"/>
        </w:rPr>
        <w:t>7</w:t>
      </w:r>
      <w:r>
        <w:rPr>
          <w:rFonts w:hint="eastAsia" w:ascii="仿宋" w:hAnsi="仿宋" w:eastAsia="仿宋" w:cs="仿宋_GB2312"/>
          <w:kern w:val="0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_GB2312"/>
          <w:kern w:val="0"/>
          <w:sz w:val="32"/>
          <w:szCs w:val="32"/>
        </w:rPr>
        <w:t>药品监管： 主要负责牵头全区药品和医疗器械质量监管工作；开展药品和医疗器械不良反应监测工作（事件），开展《药品管理法》《医疗器械经营监督管理办法》《疫苗管理法》等相关法律法规普法宣传培训，对全区药品从业人员开展业务培训。根据省市药品医疗器械抽样计划，及时开展药品医疗器械抽检工作。积极开展药品、医疗器械安全隐患排查和专项整治工作。配备食品药品安全监管协管员，承担协助执法、隐患排查、信息报告、宣传引导等职责。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达到了项目的预期绩效目标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根据指标体系评分标准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得分为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100分。</w:t>
      </w:r>
    </w:p>
    <w:p w14:paraId="2BA98AFD">
      <w:pPr>
        <w:pStyle w:val="9"/>
        <w:shd w:val="clear" w:color="auto" w:fill="FFFFFF"/>
        <w:spacing w:before="0" w:beforeAutospacing="0" w:after="0" w:afterAutospacing="0"/>
        <w:ind w:firstLine="590"/>
        <w:jc w:val="both"/>
        <w:rPr>
          <w:rFonts w:hint="eastAsia" w:ascii="仿宋" w:hAnsi="仿宋" w:eastAsia="仿宋" w:cs="仿宋_GB2312"/>
          <w:kern w:val="0"/>
          <w:sz w:val="32"/>
          <w:szCs w:val="32"/>
        </w:rPr>
      </w:pPr>
      <w:r>
        <w:rPr>
          <w:rFonts w:hint="eastAsia"/>
        </w:rPr>
        <w:t xml:space="preserve"> </w:t>
      </w:r>
      <w:r>
        <w:rPr>
          <w:rFonts w:hint="eastAsia" w:ascii="仿宋" w:hAnsi="仿宋" w:eastAsia="仿宋" w:cs="仿宋_GB2312"/>
          <w:kern w:val="0"/>
          <w:sz w:val="32"/>
          <w:szCs w:val="32"/>
          <w:lang w:val="en-US" w:eastAsia="zh-CN"/>
        </w:rPr>
        <w:t>8.</w:t>
      </w:r>
      <w:r>
        <w:rPr>
          <w:rFonts w:hint="eastAsia" w:ascii="仿宋" w:hAnsi="仿宋" w:eastAsia="仿宋" w:cs="仿宋_GB2312"/>
          <w:kern w:val="0"/>
          <w:sz w:val="32"/>
          <w:szCs w:val="32"/>
        </w:rPr>
        <w:t>质量安全监管：加大监管力度，提升监管水平，提高产品质量安全，加大监督管理，确保人民群众生命健康安全。落实产品质量责任制，提高全区工业产品质量。定期对企业产品随机抽取进行监督检验，保障从源头抓质量、激励企业提升质量管理和产品质量，提升质量强区工作。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整体目标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达到了项目的预期绩效目标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根据指标体系评分标准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得分为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100分。</w:t>
      </w:r>
    </w:p>
    <w:p w14:paraId="1C743BD1">
      <w:pPr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 xml:space="preserve"> 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9.</w:t>
      </w:r>
      <w:r>
        <w:rPr>
          <w:rFonts w:hint="eastAsia" w:ascii="仿宋" w:hAnsi="仿宋" w:eastAsia="仿宋" w:cs="仿宋_GB2312"/>
          <w:sz w:val="32"/>
          <w:szCs w:val="32"/>
        </w:rPr>
        <w:t>综合事务管理：</w:t>
      </w:r>
      <w:r>
        <w:rPr>
          <w:rFonts w:hint="eastAsia" w:ascii="仿宋" w:hAnsi="仿宋" w:eastAsia="仿宋" w:cs="仿宋"/>
          <w:sz w:val="32"/>
          <w:szCs w:val="32"/>
        </w:rPr>
        <w:t>主要对办公场所进行维修（护），保障良好的办公环境，为单位的办公环境及涉密安全提供保障。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达到了项目的预期绩效目标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根据指标体系评分标准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得分为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100分。</w:t>
      </w:r>
    </w:p>
    <w:p w14:paraId="1F487269">
      <w:pPr>
        <w:ind w:firstLine="640" w:firstLineChars="200"/>
        <w:jc w:val="left"/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10.食品安全监管：</w:t>
      </w:r>
      <w:r>
        <w:rPr>
          <w:rFonts w:hint="eastAsia" w:ascii="仿宋" w:hAnsi="仿宋" w:eastAsia="仿宋" w:cs="仿宋_GB2312"/>
          <w:sz w:val="32"/>
          <w:szCs w:val="32"/>
        </w:rPr>
        <w:t>承担食品生产、流通、餐饮等环节的食品安全监督管理,确保食品生产、流通、餐饮消费环节不出现重大事故，提高生产、经营者依法生产、经营自觉性，及时发现食品安全问题，保障群众饮食安全。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达到了项目的预期绩效目标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根据指标体系评分标准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得分为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100分。</w:t>
      </w:r>
    </w:p>
    <w:p w14:paraId="64B3E0B9">
      <w:pPr>
        <w:ind w:firstLine="640" w:firstLineChars="200"/>
        <w:jc w:val="left"/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11.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食品安全协管员经费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：</w:t>
      </w:r>
      <w:r>
        <w:rPr>
          <w:rFonts w:hint="eastAsia" w:ascii="仿宋" w:hAnsi="仿宋" w:eastAsia="仿宋" w:cs="仿宋_GB2312"/>
          <w:sz w:val="32"/>
          <w:szCs w:val="32"/>
        </w:rPr>
        <w:t>,</w:t>
      </w:r>
      <w:r>
        <w:rPr>
          <w:rFonts w:hint="eastAsia" w:ascii="仿宋" w:hAnsi="仿宋" w:eastAsia="仿宋"/>
          <w:sz w:val="32"/>
          <w:szCs w:val="32"/>
        </w:rPr>
        <w:t>主要用于对辖区</w:t>
      </w:r>
      <w:r>
        <w:rPr>
          <w:rFonts w:hint="eastAsia" w:ascii="仿宋" w:hAnsi="仿宋" w:eastAsia="仿宋" w:cs="仿宋_GB2312"/>
          <w:sz w:val="32"/>
          <w:szCs w:val="32"/>
        </w:rPr>
        <w:t>承担食品生产、流通、餐饮等环节的食品安全监督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的</w:t>
      </w:r>
      <w:r>
        <w:rPr>
          <w:rFonts w:hint="eastAsia" w:ascii="仿宋" w:hAnsi="仿宋" w:eastAsia="仿宋"/>
          <w:sz w:val="32"/>
          <w:szCs w:val="32"/>
        </w:rPr>
        <w:t>食药安全协管员的工作补贴</w:t>
      </w:r>
      <w:r>
        <w:rPr>
          <w:rFonts w:hint="eastAsia" w:ascii="仿宋" w:hAnsi="仿宋" w:eastAsia="仿宋" w:cs="仿宋_GB2312"/>
          <w:sz w:val="32"/>
          <w:szCs w:val="32"/>
        </w:rPr>
        <w:t>。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达到了项目的预期绩效目标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根据指标体系评分标准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得分为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100分。</w:t>
      </w:r>
    </w:p>
    <w:p w14:paraId="21795DB3">
      <w:pPr>
        <w:ind w:firstLine="640" w:firstLineChars="200"/>
        <w:jc w:val="left"/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12.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视频会议系统服务：</w:t>
      </w:r>
      <w:r>
        <w:rPr>
          <w:rFonts w:hint="eastAsia" w:ascii="仿宋" w:hAnsi="仿宋" w:eastAsia="仿宋"/>
          <w:sz w:val="32"/>
          <w:szCs w:val="32"/>
        </w:rPr>
        <w:t>主要用于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本年全局视频会议系统，电路租用、云视频服务费用。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达到了项目的预期绩效目标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根据指标体系评分标准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得分为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100分。</w:t>
      </w:r>
    </w:p>
    <w:p w14:paraId="4B3E3F3F">
      <w:pPr>
        <w:ind w:firstLine="640" w:firstLineChars="200"/>
        <w:jc w:val="left"/>
        <w:rPr>
          <w:rFonts w:hint="default" w:ascii="仿宋" w:hAnsi="仿宋" w:eastAsia="仿宋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13.劳务派遣人员经费：主要用于本年度劳务派遣人员工资。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达到了项目的预期绩效目标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根据指标体系评分标准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得分为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100分。</w:t>
      </w:r>
    </w:p>
    <w:p w14:paraId="7B00BE73">
      <w:pPr>
        <w:ind w:firstLine="640" w:firstLineChars="200"/>
        <w:jc w:val="left"/>
        <w:rPr>
          <w:rFonts w:hint="default" w:ascii="仿宋" w:hAnsi="仿宋" w:eastAsia="仿宋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14.服装配置费：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主要用于</w:t>
      </w:r>
      <w:r>
        <w:rPr>
          <w:rFonts w:hint="eastAsia" w:ascii="仿宋" w:hAnsi="仿宋" w:eastAsia="仿宋"/>
          <w:sz w:val="32"/>
          <w:szCs w:val="32"/>
        </w:rPr>
        <w:t>2022年至今新进人员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配备制式服装</w:t>
      </w:r>
      <w:r>
        <w:rPr>
          <w:rFonts w:hint="eastAsia" w:ascii="仿宋" w:hAnsi="仿宋" w:eastAsia="仿宋"/>
          <w:sz w:val="32"/>
          <w:szCs w:val="32"/>
        </w:rPr>
        <w:t>。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达到了项目的预期绩效目标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根据指标体系评分标准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得分为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100分。</w:t>
      </w:r>
    </w:p>
    <w:p w14:paraId="3FE84D0B">
      <w:pPr>
        <w:ind w:firstLine="640" w:firstLineChars="200"/>
        <w:jc w:val="left"/>
        <w:rPr>
          <w:rFonts w:hint="default" w:ascii="仿宋" w:hAnsi="仿宋" w:eastAsia="仿宋" w:cs="仿宋_GB2312"/>
          <w:color w:val="000000"/>
          <w:sz w:val="32"/>
          <w:szCs w:val="32"/>
          <w:lang w:val="en-US" w:eastAsia="zh-CN"/>
        </w:rPr>
      </w:pPr>
    </w:p>
    <w:p w14:paraId="31DD4F7E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石财行[2024]31号关于提前下达2025年省级市场监管补助经费：主要用于市场监管、基层建设、执法装备配备等支出。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达到了项目的预期绩效目标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根据指标体系评分标准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得分为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97分。</w:t>
      </w:r>
    </w:p>
    <w:p w14:paraId="350B868A">
      <w:pPr>
        <w:shd w:val="solid" w:color="FFFFFF" w:fill="auto"/>
        <w:tabs>
          <w:tab w:val="center" w:pos="4309"/>
        </w:tabs>
        <w:autoSpaceDN w:val="0"/>
        <w:spacing w:line="33" w:lineRule="atLeas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16.石财行[2025]5号关于下达2025年第一批知识产权高质量发展（商标、地理标志）奖补资金的项目：主要用于该资金用于对辖区内3家公司知识产权高质量发展资助。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达到了项目的预期绩效目标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根据指标体系评分标准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得分为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100分。</w:t>
      </w:r>
    </w:p>
    <w:p w14:paraId="2A731D2F">
      <w:pPr>
        <w:shd w:val="solid" w:color="FFFFFF" w:fill="auto"/>
        <w:tabs>
          <w:tab w:val="center" w:pos="4309"/>
        </w:tabs>
        <w:autoSpaceDN w:val="0"/>
        <w:spacing w:line="33" w:lineRule="atLeas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17.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石财行[2025]17号关于下达2025年第二批知识产权高质量发展（运用促进奖补）资金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的项目：主要用于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该经费用于对辖区8家公司知识产权高质量发展资助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。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达到了项目的预期绩效目标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根据指标体系评分标准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得分为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100分。</w:t>
      </w:r>
    </w:p>
    <w:p w14:paraId="2EC4DACE">
      <w:pPr>
        <w:shd w:val="solid" w:color="FFFFFF" w:fill="auto"/>
        <w:tabs>
          <w:tab w:val="center" w:pos="4309"/>
        </w:tabs>
        <w:autoSpaceDN w:val="0"/>
        <w:spacing w:line="33" w:lineRule="atLeas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18.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石财行[2025]23号关于下达2025年第三批知识产权高质量发展（保护）奖补资金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的项目：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该</w:t>
      </w:r>
      <w:r>
        <w:rPr>
          <w:rFonts w:hint="eastAsia" w:ascii="仿宋" w:hAnsi="仿宋" w:eastAsia="仿宋"/>
          <w:sz w:val="32"/>
          <w:szCs w:val="32"/>
        </w:rPr>
        <w:t>经费主要用于该资金用于对辖区内3家单位进行授奖奖励。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达到了项目的预期绩效目标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根据指标体系评分标准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得分为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100分。</w:t>
      </w:r>
    </w:p>
    <w:p w14:paraId="39A4A23E">
      <w:pPr>
        <w:shd w:val="solid" w:color="FFFFFF" w:fill="auto"/>
        <w:tabs>
          <w:tab w:val="center" w:pos="4309"/>
        </w:tabs>
        <w:autoSpaceDN w:val="0"/>
        <w:spacing w:line="33" w:lineRule="atLeas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19.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石财行[2025]15号关于下达2025年市政府质量奖奖励资金的项目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：</w:t>
      </w:r>
      <w:r>
        <w:rPr>
          <w:rFonts w:hint="eastAsia" w:ascii="仿宋" w:hAnsi="仿宋" w:eastAsia="仿宋"/>
          <w:sz w:val="32"/>
          <w:szCs w:val="32"/>
        </w:rPr>
        <w:t>项目资金用于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获得</w:t>
      </w:r>
      <w:r>
        <w:rPr>
          <w:rFonts w:hint="eastAsia" w:ascii="仿宋" w:hAnsi="仿宋" w:eastAsia="仿宋"/>
          <w:sz w:val="32"/>
          <w:szCs w:val="32"/>
        </w:rPr>
        <w:t>对辖区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省市政府质量奖企业的奖励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。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达到了项目的预期绩效目标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根据指标体系评分标准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得分为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100分。</w:t>
      </w:r>
    </w:p>
    <w:p w14:paraId="4353B0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20.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石财行[2025]2号关于下达2025年市级标准化资助项目资金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的项目：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该资金用于对辖区内1家公司标准化发展资助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。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达到了项目的预期绩效目标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根据指标体系评分标准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eastAsia="zh-CN"/>
        </w:rPr>
        <w:t>得分为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100分。</w:t>
      </w:r>
    </w:p>
    <w:p w14:paraId="7DAC4F6C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1E79375C">
      <w:pPr>
        <w:ind w:firstLine="640" w:firstLineChars="200"/>
        <w:rPr>
          <w:rFonts w:hint="eastAsia" w:ascii="仿宋" w:hAnsi="仿宋" w:eastAsia="仿宋" w:cs="仿宋_GB2312"/>
          <w:color w:val="000000"/>
          <w:sz w:val="32"/>
          <w:szCs w:val="32"/>
        </w:rPr>
      </w:pPr>
      <w:r>
        <w:rPr>
          <w:rFonts w:hint="eastAsia" w:ascii="仿宋" w:hAnsi="仿宋" w:eastAsia="仿宋" w:cs="仿宋_GB2312"/>
          <w:color w:val="000000"/>
          <w:sz w:val="32"/>
          <w:szCs w:val="32"/>
        </w:rPr>
        <w:t>项目实施顺利，严格按照预期要求完成计划，依据项目绩效评价指标体系及评分表，我局综合评价得分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99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分，评价等级评定为优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秀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。</w:t>
      </w:r>
    </w:p>
    <w:p w14:paraId="38849F34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7BE0486D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</w:t>
      </w:r>
      <w:r>
        <w:rPr>
          <w:rFonts w:hint="eastAsia" w:ascii="楷体" w:hAnsi="楷体" w:eastAsia="楷体"/>
          <w:bCs/>
          <w:sz w:val="32"/>
          <w:szCs w:val="32"/>
          <w:lang w:eastAsia="zh-CN"/>
        </w:rPr>
        <w:t>）</w:t>
      </w:r>
      <w:r>
        <w:rPr>
          <w:rFonts w:hint="eastAsia" w:ascii="楷体" w:hAnsi="楷体" w:eastAsia="楷体"/>
          <w:bCs/>
          <w:sz w:val="32"/>
          <w:szCs w:val="32"/>
        </w:rPr>
        <w:t>存在的主要问题</w:t>
      </w:r>
    </w:p>
    <w:p w14:paraId="0ADDE6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firstLine="640" w:firstLineChars="200"/>
        <w:textAlignment w:val="auto"/>
        <w:outlineLvl w:val="9"/>
      </w:pPr>
      <w:r>
        <w:rPr>
          <w:rFonts w:hint="eastAsia" w:ascii="仿宋" w:hAnsi="仿宋" w:eastAsia="仿宋"/>
          <w:sz w:val="32"/>
          <w:szCs w:val="32"/>
        </w:rPr>
        <w:t>市场监管专项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经费在细节管理上还存在不够细致，在合理规范使用资金的方式、方法上有待进一步创新提升。</w:t>
      </w:r>
    </w:p>
    <w:p w14:paraId="08399B8F">
      <w:pPr>
        <w:numPr>
          <w:ilvl w:val="0"/>
          <w:numId w:val="0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黑体"/>
          <w:bCs/>
          <w:kern w:val="2"/>
          <w:sz w:val="32"/>
          <w:szCs w:val="32"/>
          <w:lang w:val="en-US" w:eastAsia="zh-CN" w:bidi="ar-SA"/>
        </w:rPr>
        <w:t>（二）</w:t>
      </w: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0C8FBE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1.创新工作方法，不断增强经费使用的针对性和实效性，切实增强工作水平。</w:t>
      </w:r>
    </w:p>
    <w:p w14:paraId="72F0C5F9">
      <w:pPr>
        <w:keepNext w:val="0"/>
        <w:keepLines w:val="0"/>
        <w:pageBreakBefore w:val="0"/>
        <w:widowControl w:val="0"/>
        <w:tabs>
          <w:tab w:val="left" w:pos="70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outlineLvl w:val="0"/>
        <w:rPr>
          <w:rFonts w:hint="eastAsia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2.狠抓工作落实，定期或不定期开展关于经费使用情况的跟踪督查，对经费使用情况进行严格的跟踪问效管理，确保经费使用合理、高效。</w:t>
      </w:r>
    </w:p>
    <w:p w14:paraId="70D8B85D">
      <w:pPr>
        <w:spacing w:line="560" w:lineRule="exact"/>
        <w:rPr>
          <w:rFonts w:hint="eastAsia" w:ascii="仿宋" w:hAnsi="仿宋" w:eastAsia="仿宋"/>
          <w:lang w:val="en-US" w:eastAsia="zh-CN"/>
        </w:rPr>
      </w:pPr>
    </w:p>
    <w:p w14:paraId="656A6B6C">
      <w:pPr>
        <w:spacing w:line="560" w:lineRule="exact"/>
        <w:rPr>
          <w:rFonts w:hint="eastAsia" w:ascii="仿宋" w:hAnsi="仿宋" w:eastAsia="仿宋"/>
          <w:lang w:val="en-US" w:eastAsia="zh-CN"/>
        </w:rPr>
      </w:pPr>
    </w:p>
    <w:p w14:paraId="0D53F693">
      <w:pPr>
        <w:spacing w:line="560" w:lineRule="exact"/>
        <w:rPr>
          <w:rFonts w:hint="default" w:ascii="仿宋" w:hAnsi="仿宋" w:eastAsia="仿宋"/>
          <w:lang w:val="en-US" w:eastAsia="zh-CN"/>
        </w:rPr>
      </w:pPr>
      <w:r>
        <w:rPr>
          <w:rFonts w:hint="eastAsia" w:ascii="仿宋" w:hAnsi="仿宋" w:eastAsia="仿宋"/>
          <w:lang w:val="en-US" w:eastAsia="zh-CN"/>
        </w:rPr>
        <w:t xml:space="preserve">                        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2026年4月24日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27626E">
    <w:pPr>
      <w:pStyle w:val="8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73EBB21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73EBB21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cyMDNkNjlkNGYzYmMzZjc4YTEyZWU1NzZlMTFiNDU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7166BB"/>
    <w:rsid w:val="02B43A28"/>
    <w:rsid w:val="046F331E"/>
    <w:rsid w:val="07956271"/>
    <w:rsid w:val="09721397"/>
    <w:rsid w:val="0BB63BED"/>
    <w:rsid w:val="0CA957D4"/>
    <w:rsid w:val="0EB97A43"/>
    <w:rsid w:val="0EBD2122"/>
    <w:rsid w:val="0F214EAE"/>
    <w:rsid w:val="11B71E6A"/>
    <w:rsid w:val="15C727F2"/>
    <w:rsid w:val="1AAF0063"/>
    <w:rsid w:val="1B9719BF"/>
    <w:rsid w:val="1BE140DE"/>
    <w:rsid w:val="1C4F0C17"/>
    <w:rsid w:val="1D4E2FF5"/>
    <w:rsid w:val="1F6F0167"/>
    <w:rsid w:val="214178FD"/>
    <w:rsid w:val="248C197D"/>
    <w:rsid w:val="252959AF"/>
    <w:rsid w:val="277A6671"/>
    <w:rsid w:val="292D35B7"/>
    <w:rsid w:val="33EB6CFF"/>
    <w:rsid w:val="35A12947"/>
    <w:rsid w:val="37387040"/>
    <w:rsid w:val="3B625C0A"/>
    <w:rsid w:val="3B9913F0"/>
    <w:rsid w:val="3CEE1963"/>
    <w:rsid w:val="3FBE3CC9"/>
    <w:rsid w:val="436B78D3"/>
    <w:rsid w:val="4B9F6D96"/>
    <w:rsid w:val="4C9C27FE"/>
    <w:rsid w:val="512260B4"/>
    <w:rsid w:val="52075E2B"/>
    <w:rsid w:val="52BD6ACB"/>
    <w:rsid w:val="55537534"/>
    <w:rsid w:val="561A74F1"/>
    <w:rsid w:val="597244E8"/>
    <w:rsid w:val="5EB71C30"/>
    <w:rsid w:val="66AF0CE5"/>
    <w:rsid w:val="6AC537CF"/>
    <w:rsid w:val="6E5B14A6"/>
    <w:rsid w:val="6F177F4F"/>
    <w:rsid w:val="711B255E"/>
    <w:rsid w:val="76E03B76"/>
    <w:rsid w:val="7BB51E06"/>
    <w:rsid w:val="7C387F7C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unhideWhenUsed/>
    <w:qFormat/>
    <w:uiPriority w:val="1"/>
  </w:style>
  <w:style w:type="table" w:default="1" w:styleId="11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a heading"/>
    <w:basedOn w:val="1"/>
    <w:next w:val="1"/>
    <w:qFormat/>
    <w:uiPriority w:val="0"/>
    <w:pPr>
      <w:spacing w:before="120" w:beforeLines="0" w:beforeAutospacing="0"/>
    </w:pPr>
    <w:rPr>
      <w:rFonts w:ascii="Arial" w:hAnsi="Arial"/>
      <w:sz w:val="24"/>
    </w:rPr>
  </w:style>
  <w:style w:type="paragraph" w:styleId="3">
    <w:name w:val="Body Text"/>
    <w:basedOn w:val="1"/>
    <w:next w:val="4"/>
    <w:qFormat/>
    <w:uiPriority w:val="0"/>
    <w:pPr>
      <w:keepNext w:val="0"/>
      <w:keepLines w:val="0"/>
      <w:widowControl w:val="0"/>
      <w:suppressLineNumbers w:val="0"/>
      <w:spacing w:before="30" w:beforeAutospacing="0" w:after="0" w:afterAutospacing="0"/>
      <w:ind w:left="188" w:right="0"/>
      <w:jc w:val="both"/>
    </w:pPr>
    <w:rPr>
      <w:rFonts w:hint="eastAsia" w:ascii="仿宋_GB2312" w:hAnsi="仿宋_GB2312" w:eastAsia="仿宋_GB2312" w:cs="仿宋_GB2312"/>
      <w:kern w:val="2"/>
      <w:sz w:val="32"/>
      <w:szCs w:val="32"/>
      <w:lang w:val="en-US" w:eastAsia="zh-CN" w:bidi="ar"/>
    </w:r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5">
    <w:name w:val="Quote1"/>
    <w:basedOn w:val="1"/>
    <w:next w:val="1"/>
    <w:qFormat/>
    <w:uiPriority w:val="0"/>
    <w:pPr>
      <w:ind w:left="864" w:right="864"/>
      <w:jc w:val="center"/>
    </w:pPr>
    <w:rPr>
      <w:i/>
      <w:iCs/>
      <w:color w:val="000000"/>
    </w:rPr>
  </w:style>
  <w:style w:type="paragraph" w:styleId="6">
    <w:name w:val="Body Text Indent"/>
    <w:basedOn w:val="1"/>
    <w:next w:val="1"/>
    <w:qFormat/>
    <w:uiPriority w:val="0"/>
    <w:pPr>
      <w:spacing w:after="120"/>
      <w:ind w:left="420" w:leftChars="200"/>
    </w:pPr>
  </w:style>
  <w:style w:type="paragraph" w:styleId="7">
    <w:name w:val="Body Text Indent 2"/>
    <w:basedOn w:val="3"/>
    <w:qFormat/>
    <w:uiPriority w:val="0"/>
    <w:pPr>
      <w:spacing w:line="480" w:lineRule="auto"/>
      <w:ind w:left="420" w:leftChars="200"/>
    </w:pPr>
    <w:rPr>
      <w:rFonts w:ascii="Times New Roman" w:hAnsi="Times New Roman" w:eastAsia="宋体" w:cs="Times New Roman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Normal (Web)"/>
    <w:basedOn w:val="1"/>
    <w:unhideWhenUsed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10">
    <w:name w:val="Body Text First Indent 2"/>
    <w:basedOn w:val="6"/>
    <w:next w:val="7"/>
    <w:qFormat/>
    <w:uiPriority w:val="0"/>
    <w:pPr>
      <w:ind w:firstLine="420" w:firstLineChars="200"/>
    </w:pPr>
  </w:style>
  <w:style w:type="paragraph" w:customStyle="1" w:styleId="13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宋体" w:eastAsia="宋体" w:cs="宋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3797</Words>
  <Characters>4101</Characters>
  <Lines>4</Lines>
  <Paragraphs>1</Paragraphs>
  <TotalTime>0</TotalTime>
  <ScaleCrop>false</ScaleCrop>
  <LinksUpToDate>false</LinksUpToDate>
  <CharactersWithSpaces>4181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大迷糊儿～</cp:lastModifiedBy>
  <cp:lastPrinted>2024-03-06T07:40:00Z</cp:lastPrinted>
  <dcterms:modified xsi:type="dcterms:W3CDTF">2026-05-09T07:22:19Z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69CE71C4234B48EB826C4C2125C8BFF3_13</vt:lpwstr>
  </property>
  <property fmtid="{D5CDD505-2E9C-101B-9397-08002B2CF9AE}" pid="4" name="KSOTemplateDocerSaveRecord">
    <vt:lpwstr>eyJoZGlkIjoiY2FhZTQxNDNkMmIxMmJkYTJmNGQ5MzE1NTVjYjgxYzgiLCJ1c2VySWQiOiIzODc1MzE3NzgifQ==</vt:lpwstr>
  </property>
</Properties>
</file>