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58804C">
      <w:pPr>
        <w:adjustRightInd w:val="0"/>
        <w:snapToGrid w:val="0"/>
        <w:spacing w:line="560" w:lineRule="exact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 w14:paraId="42EDA385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区委网信办</w:t>
      </w:r>
    </w:p>
    <w:p w14:paraId="71578970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2025年度整体支出绩效自评报告</w:t>
      </w:r>
    </w:p>
    <w:p w14:paraId="7DB97C26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49821B4E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贯彻落实区委区政府《关于全面落实预算绩效管理的实施意见》（新华发〔2019〕9号）文件精神，遵循“科学性、规范性、客观性和公正性”的原则，对</w:t>
      </w:r>
      <w:r>
        <w:rPr>
          <w:rFonts w:hint="eastAsia" w:ascii="仿宋_GB2312" w:hAnsi="仿宋_GB2312" w:eastAsia="仿宋_GB2312" w:cs="仿宋_GB2312"/>
          <w:sz w:val="32"/>
          <w:szCs w:val="32"/>
        </w:rPr>
        <w:t>新华区委网信</w:t>
      </w:r>
      <w:r>
        <w:rPr>
          <w:rFonts w:hint="eastAsia" w:ascii="仿宋" w:hAnsi="仿宋" w:eastAsia="仿宋"/>
          <w:sz w:val="32"/>
          <w:szCs w:val="32"/>
        </w:rPr>
        <w:t>2025年整体支出情况实施了财政支出绩效自评价，形成本评价报告。</w:t>
      </w:r>
    </w:p>
    <w:p w14:paraId="104816EB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3E4236F5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0905539E">
      <w:pPr>
        <w:spacing w:line="580" w:lineRule="exact"/>
        <w:ind w:firstLine="56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根据《新华区委网络安全和信息化委员会办公室职能配置、内设机构和人员编制规定》，新华区委网络安全和信息化委员会办公室的主要职责是：</w:t>
      </w:r>
    </w:p>
    <w:p w14:paraId="66526987">
      <w:pPr>
        <w:pStyle w:val="6"/>
        <w:spacing w:line="58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1.负责处理区委网络安全和信息化委员会日常事务工作。</w:t>
      </w:r>
    </w:p>
    <w:p w14:paraId="27FAEFEE">
      <w:pPr>
        <w:pStyle w:val="6"/>
        <w:spacing w:line="58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2.负责互联网信息内容管理。</w:t>
      </w:r>
    </w:p>
    <w:p w14:paraId="48C8B20B">
      <w:pPr>
        <w:pStyle w:val="6"/>
        <w:spacing w:line="58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3.负责指导协调全区网络舆情信息工作。</w:t>
      </w:r>
    </w:p>
    <w:p w14:paraId="1BD9041E">
      <w:pPr>
        <w:pStyle w:val="6"/>
        <w:spacing w:line="58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4.推动全区网络阵地建设。</w:t>
      </w:r>
    </w:p>
    <w:p w14:paraId="2A80A489">
      <w:pPr>
        <w:pStyle w:val="6"/>
        <w:spacing w:line="58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5.协调推动全区网络社会工作和网络文化、网络文明建设;发展、联系、服务网络社会组织,指导互联网行业自律,推进网站党建工作。</w:t>
      </w:r>
    </w:p>
    <w:p w14:paraId="3568F8EE">
      <w:pPr>
        <w:pStyle w:val="6"/>
        <w:spacing w:line="58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6.拟订网络安全和信息化干部人才队伍发展规划,负责网信系统干部教育培训和人才队伍建设,组织开展网络媒介素养教育。</w:t>
      </w:r>
    </w:p>
    <w:p w14:paraId="0ABC15B7">
      <w:pPr>
        <w:spacing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7.完</w:t>
      </w:r>
      <w:r>
        <w:rPr>
          <w:rFonts w:hint="eastAsia" w:ascii="仿宋_GB2312" w:hAnsi="仿宋_GB2312" w:eastAsia="仿宋_GB2312" w:cs="仿宋_GB2312"/>
          <w:sz w:val="32"/>
          <w:szCs w:val="32"/>
        </w:rPr>
        <w:t>成市委网络安全和信息化委员会办公室(市互联网信息办公室)和区委、区政府及区委网络安全和信息化委员会、区委宣传部交办的其他事项。</w:t>
      </w:r>
    </w:p>
    <w:tbl>
      <w:tblPr>
        <w:tblStyle w:val="4"/>
        <w:tblpPr w:leftFromText="180" w:rightFromText="180" w:vertAnchor="text" w:horzAnchor="page" w:tblpX="1752" w:tblpY="1018"/>
        <w:tblOverlap w:val="never"/>
        <w:tblW w:w="0" w:type="auto"/>
        <w:tblInd w:w="0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4"/>
        <w:gridCol w:w="2014"/>
        <w:gridCol w:w="2268"/>
        <w:gridCol w:w="1842"/>
      </w:tblGrid>
      <w:tr w14:paraId="39D1D02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</w:trPr>
        <w:tc>
          <w:tcPr>
            <w:tcW w:w="2464" w:type="dxa"/>
            <w:vAlign w:val="center"/>
          </w:tcPr>
          <w:p w14:paraId="49FE76D7">
            <w:pPr>
              <w:pStyle w:val="7"/>
              <w:spacing w:line="580" w:lineRule="exact"/>
              <w:rPr>
                <w:b w:val="0"/>
              </w:rPr>
            </w:pPr>
            <w:r>
              <w:rPr>
                <w:b w:val="0"/>
              </w:rPr>
              <w:t>单位名称</w:t>
            </w:r>
          </w:p>
        </w:tc>
        <w:tc>
          <w:tcPr>
            <w:tcW w:w="2014" w:type="dxa"/>
            <w:vAlign w:val="center"/>
          </w:tcPr>
          <w:p w14:paraId="3020F288">
            <w:pPr>
              <w:pStyle w:val="7"/>
              <w:spacing w:line="580" w:lineRule="exact"/>
              <w:rPr>
                <w:b w:val="0"/>
              </w:rPr>
            </w:pPr>
            <w:r>
              <w:rPr>
                <w:b w:val="0"/>
              </w:rPr>
              <w:t>单位性质</w:t>
            </w:r>
          </w:p>
        </w:tc>
        <w:tc>
          <w:tcPr>
            <w:tcW w:w="2268" w:type="dxa"/>
            <w:vAlign w:val="center"/>
          </w:tcPr>
          <w:p w14:paraId="14C7AA59">
            <w:pPr>
              <w:pStyle w:val="7"/>
              <w:spacing w:line="580" w:lineRule="exact"/>
              <w:rPr>
                <w:b w:val="0"/>
              </w:rPr>
            </w:pPr>
            <w:r>
              <w:rPr>
                <w:b w:val="0"/>
              </w:rPr>
              <w:t>单位规格</w:t>
            </w:r>
          </w:p>
        </w:tc>
        <w:tc>
          <w:tcPr>
            <w:tcW w:w="1842" w:type="dxa"/>
            <w:vAlign w:val="center"/>
          </w:tcPr>
          <w:p w14:paraId="469CA1CD">
            <w:pPr>
              <w:pStyle w:val="7"/>
              <w:spacing w:line="580" w:lineRule="exact"/>
              <w:rPr>
                <w:b w:val="0"/>
              </w:rPr>
            </w:pPr>
            <w:r>
              <w:rPr>
                <w:b w:val="0"/>
              </w:rPr>
              <w:t>经费保障形式</w:t>
            </w:r>
          </w:p>
        </w:tc>
      </w:tr>
      <w:tr w14:paraId="73418DF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2464" w:type="dxa"/>
            <w:vAlign w:val="center"/>
          </w:tcPr>
          <w:p w14:paraId="18FD13AE">
            <w:pPr>
              <w:pStyle w:val="8"/>
              <w:spacing w:line="580" w:lineRule="exact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</w:rPr>
              <w:t>新华区委网络安全和信息化委员会办公室（本级）</w:t>
            </w:r>
          </w:p>
        </w:tc>
        <w:tc>
          <w:tcPr>
            <w:tcW w:w="2014" w:type="dxa"/>
            <w:vAlign w:val="center"/>
          </w:tcPr>
          <w:p w14:paraId="48E13A68">
            <w:pPr>
              <w:pStyle w:val="9"/>
              <w:spacing w:line="580" w:lineRule="exact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</w:rPr>
              <w:t>行政</w:t>
            </w:r>
          </w:p>
        </w:tc>
        <w:tc>
          <w:tcPr>
            <w:tcW w:w="2268" w:type="dxa"/>
            <w:vAlign w:val="center"/>
          </w:tcPr>
          <w:p w14:paraId="7E5F42C3">
            <w:pPr>
              <w:pStyle w:val="9"/>
              <w:spacing w:line="580" w:lineRule="exact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</w:rPr>
              <w:t>正科级</w:t>
            </w:r>
          </w:p>
        </w:tc>
        <w:tc>
          <w:tcPr>
            <w:tcW w:w="1842" w:type="dxa"/>
            <w:vAlign w:val="center"/>
          </w:tcPr>
          <w:p w14:paraId="2A436284">
            <w:pPr>
              <w:pStyle w:val="9"/>
              <w:spacing w:line="580" w:lineRule="exact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</w:rPr>
              <w:t>财政拨款</w:t>
            </w:r>
          </w:p>
        </w:tc>
      </w:tr>
    </w:tbl>
    <w:p w14:paraId="5799BCEA">
      <w:pPr>
        <w:spacing w:line="580" w:lineRule="exact"/>
        <w:jc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黑体" w:hAnsi="黑体" w:eastAsia="黑体" w:cs="方正小标宋_GBK"/>
          <w:color w:val="000000"/>
          <w:sz w:val="32"/>
        </w:rPr>
        <w:t>部门机构设置情况</w:t>
      </w:r>
    </w:p>
    <w:p w14:paraId="21AC68A8">
      <w:pPr>
        <w:spacing w:line="580" w:lineRule="exact"/>
        <w:ind w:firstLine="620" w:firstLineChars="200"/>
        <w:rPr>
          <w:rFonts w:hint="eastAsia"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z w:val="31"/>
          <w:szCs w:val="31"/>
        </w:rPr>
        <w:t>（二）部门收支预决算情况</w:t>
      </w:r>
    </w:p>
    <w:p w14:paraId="25C093E6">
      <w:pPr>
        <w:spacing w:line="580" w:lineRule="exact"/>
        <w:ind w:firstLine="620" w:firstLineChars="20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1、收入说明</w:t>
      </w:r>
    </w:p>
    <w:p w14:paraId="2735D771">
      <w:pPr>
        <w:spacing w:line="580" w:lineRule="exact"/>
        <w:ind w:firstLine="620" w:firstLineChars="20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202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5</w:t>
      </w:r>
      <w:r>
        <w:rPr>
          <w:rFonts w:ascii="仿宋" w:hAnsi="仿宋" w:eastAsia="仿宋" w:cs="仿宋"/>
          <w:sz w:val="31"/>
          <w:szCs w:val="31"/>
        </w:rPr>
        <w:t>年预算收入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162.94</w:t>
      </w:r>
      <w:r>
        <w:rPr>
          <w:rFonts w:ascii="仿宋" w:hAnsi="仿宋" w:eastAsia="仿宋" w:cs="仿宋"/>
          <w:sz w:val="31"/>
          <w:szCs w:val="31"/>
        </w:rPr>
        <w:t>万元，全部为一般公共预算拨款。</w:t>
      </w:r>
      <w:r>
        <w:rPr>
          <w:rFonts w:hint="eastAsia" w:ascii="仿宋" w:hAnsi="仿宋" w:eastAsia="仿宋" w:cs="仿宋"/>
          <w:sz w:val="31"/>
          <w:szCs w:val="31"/>
        </w:rPr>
        <w:t>决算收入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154.36</w:t>
      </w:r>
      <w:r>
        <w:rPr>
          <w:rFonts w:hint="eastAsia" w:ascii="仿宋" w:hAnsi="仿宋" w:eastAsia="仿宋" w:cs="仿宋"/>
          <w:sz w:val="31"/>
          <w:szCs w:val="31"/>
        </w:rPr>
        <w:t>元，决算收入小于预算收入的原因为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人员变动，减少公用经费支出</w:t>
      </w:r>
      <w:r>
        <w:rPr>
          <w:rFonts w:hint="eastAsia" w:ascii="仿宋" w:hAnsi="仿宋" w:eastAsia="仿宋" w:cs="仿宋"/>
          <w:sz w:val="31"/>
          <w:szCs w:val="31"/>
        </w:rPr>
        <w:t>。</w:t>
      </w:r>
    </w:p>
    <w:p w14:paraId="3B47F7BD">
      <w:pPr>
        <w:spacing w:line="580" w:lineRule="exact"/>
        <w:ind w:firstLine="620" w:firstLineChars="20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2</w:t>
      </w:r>
      <w:r>
        <w:rPr>
          <w:rFonts w:hint="eastAsia" w:ascii="仿宋" w:hAnsi="仿宋" w:eastAsia="仿宋" w:cs="仿宋"/>
          <w:sz w:val="31"/>
          <w:szCs w:val="31"/>
          <w:lang w:eastAsia="zh-CN"/>
        </w:rPr>
        <w:t>、</w:t>
      </w:r>
      <w:r>
        <w:rPr>
          <w:rFonts w:ascii="仿宋" w:hAnsi="仿宋" w:eastAsia="仿宋" w:cs="仿宋"/>
          <w:sz w:val="31"/>
          <w:szCs w:val="31"/>
        </w:rPr>
        <w:t>支出说</w:t>
      </w:r>
      <w:r>
        <w:rPr>
          <w:rFonts w:hint="eastAsia" w:ascii="仿宋" w:hAnsi="仿宋" w:eastAsia="仿宋" w:cs="仿宋"/>
          <w:sz w:val="31"/>
          <w:szCs w:val="31"/>
        </w:rPr>
        <w:t>明</w:t>
      </w:r>
    </w:p>
    <w:p w14:paraId="4C9F97A7">
      <w:pPr>
        <w:spacing w:line="580" w:lineRule="exact"/>
        <w:ind w:firstLine="620" w:firstLineChars="20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202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5</w:t>
      </w:r>
      <w:r>
        <w:rPr>
          <w:rFonts w:ascii="仿宋" w:hAnsi="仿宋" w:eastAsia="仿宋" w:cs="仿宋"/>
          <w:sz w:val="31"/>
          <w:szCs w:val="31"/>
        </w:rPr>
        <w:t>年支出预算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162.94</w:t>
      </w:r>
      <w:r>
        <w:rPr>
          <w:rFonts w:ascii="仿宋" w:hAnsi="仿宋" w:eastAsia="仿宋" w:cs="仿宋"/>
          <w:sz w:val="31"/>
          <w:szCs w:val="31"/>
        </w:rPr>
        <w:t>万元，其中：基本支出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141.94</w:t>
      </w:r>
      <w:r>
        <w:rPr>
          <w:rFonts w:ascii="仿宋" w:hAnsi="仿宋" w:eastAsia="仿宋" w:cs="仿宋"/>
          <w:sz w:val="31"/>
          <w:szCs w:val="31"/>
        </w:rPr>
        <w:t>万元</w:t>
      </w:r>
      <w:r>
        <w:rPr>
          <w:rFonts w:hint="eastAsia" w:ascii="仿宋" w:hAnsi="仿宋" w:eastAsia="仿宋" w:cs="仿宋"/>
          <w:sz w:val="31"/>
          <w:szCs w:val="31"/>
          <w:lang w:eastAsia="zh-CN"/>
        </w:rPr>
        <w:t>，</w:t>
      </w:r>
      <w:r>
        <w:rPr>
          <w:rFonts w:ascii="仿宋" w:hAnsi="仿宋" w:eastAsia="仿宋" w:cs="仿宋"/>
          <w:sz w:val="31"/>
          <w:szCs w:val="31"/>
        </w:rPr>
        <w:t>项目支出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21</w:t>
      </w:r>
      <w:r>
        <w:rPr>
          <w:rFonts w:ascii="仿宋" w:hAnsi="仿宋" w:eastAsia="仿宋" w:cs="仿宋"/>
          <w:sz w:val="31"/>
          <w:szCs w:val="31"/>
        </w:rPr>
        <w:t>万元。</w:t>
      </w:r>
      <w:r>
        <w:rPr>
          <w:rFonts w:hint="eastAsia" w:ascii="仿宋" w:hAnsi="仿宋" w:eastAsia="仿宋" w:cs="仿宋"/>
          <w:sz w:val="31"/>
          <w:szCs w:val="31"/>
        </w:rPr>
        <w:t>202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5</w:t>
      </w:r>
      <w:r>
        <w:rPr>
          <w:rFonts w:hint="eastAsia" w:ascii="仿宋" w:hAnsi="仿宋" w:eastAsia="仿宋" w:cs="仿宋"/>
          <w:sz w:val="31"/>
          <w:szCs w:val="31"/>
        </w:rPr>
        <w:t>年支出决算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154.36</w:t>
      </w:r>
      <w:r>
        <w:rPr>
          <w:rFonts w:hint="eastAsia" w:ascii="仿宋" w:hAnsi="仿宋" w:eastAsia="仿宋" w:cs="仿宋"/>
          <w:sz w:val="31"/>
          <w:szCs w:val="31"/>
        </w:rPr>
        <w:t>万元。决算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支出</w:t>
      </w:r>
      <w:r>
        <w:rPr>
          <w:rFonts w:hint="eastAsia" w:ascii="仿宋" w:hAnsi="仿宋" w:eastAsia="仿宋" w:cs="仿宋"/>
          <w:sz w:val="31"/>
          <w:szCs w:val="31"/>
        </w:rPr>
        <w:t>小于预算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支出</w:t>
      </w:r>
      <w:r>
        <w:rPr>
          <w:rFonts w:hint="eastAsia" w:ascii="仿宋" w:hAnsi="仿宋" w:eastAsia="仿宋" w:cs="仿宋"/>
          <w:sz w:val="31"/>
          <w:szCs w:val="31"/>
        </w:rPr>
        <w:t>的原因为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人员变动，减少公用经费支出</w:t>
      </w:r>
      <w:r>
        <w:rPr>
          <w:rFonts w:hint="eastAsia" w:ascii="仿宋" w:hAnsi="仿宋" w:eastAsia="仿宋" w:cs="仿宋"/>
          <w:sz w:val="31"/>
          <w:szCs w:val="31"/>
        </w:rPr>
        <w:t>。</w:t>
      </w:r>
    </w:p>
    <w:p w14:paraId="34860609">
      <w:pPr>
        <w:spacing w:line="580" w:lineRule="exact"/>
        <w:ind w:firstLine="620" w:firstLineChars="200"/>
        <w:rPr>
          <w:rFonts w:hint="eastAsia" w:ascii="仿宋" w:hAnsi="仿宋" w:eastAsia="仿宋" w:cs="仿宋"/>
          <w:sz w:val="31"/>
          <w:szCs w:val="31"/>
          <w:lang w:val="en-US" w:eastAsia="zh-CN"/>
        </w:rPr>
      </w:pP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3、比上年增减情况</w:t>
      </w:r>
    </w:p>
    <w:p w14:paraId="43886BA7">
      <w:pPr>
        <w:spacing w:line="580" w:lineRule="exact"/>
        <w:ind w:firstLine="620" w:firstLineChars="200"/>
        <w:rPr>
          <w:rFonts w:hint="eastAsia" w:ascii="仿宋" w:hAnsi="仿宋" w:eastAsia="仿宋" w:cs="仿宋"/>
          <w:sz w:val="31"/>
          <w:szCs w:val="31"/>
          <w:lang w:val="en-US" w:eastAsia="zh-CN"/>
        </w:rPr>
      </w:pP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2025年预算收支安排162.94万元，较2024年预算增加34.28万元，其中，基本支出增加34.28万元，项目支出无增减变动。</w:t>
      </w:r>
    </w:p>
    <w:p w14:paraId="1D1EDCF4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color w:val="auto"/>
          <w:sz w:val="32"/>
          <w:szCs w:val="32"/>
        </w:rPr>
      </w:pPr>
      <w:r>
        <w:rPr>
          <w:rFonts w:hint="eastAsia" w:ascii="楷体" w:hAnsi="楷体" w:eastAsia="楷体" w:cs="楷体_GB2312"/>
          <w:bCs/>
          <w:color w:val="auto"/>
          <w:sz w:val="32"/>
          <w:szCs w:val="32"/>
        </w:rPr>
        <w:t>（三）部门整体支出绩效目标、指标</w:t>
      </w:r>
    </w:p>
    <w:p w14:paraId="5AF676EB">
      <w:pPr>
        <w:spacing w:line="580" w:lineRule="exact"/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1、网络信息安全</w:t>
      </w:r>
    </w:p>
    <w:p w14:paraId="602FF47B">
      <w:pPr>
        <w:spacing w:line="580" w:lineRule="exact"/>
        <w:ind w:right="160" w:firstLine="64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绩效目标：</w:t>
      </w:r>
      <w:r>
        <w:rPr>
          <w:rFonts w:hint="eastAsia" w:ascii="仿宋_GB2312" w:hAnsi="仿宋_GB2312" w:eastAsia="仿宋_GB2312" w:cs="仿宋_GB2312"/>
          <w:sz w:val="32"/>
          <w:szCs w:val="32"/>
        </w:rPr>
        <w:t>为我区网络安全和信息化工作安全运行提供保障。落实上级关于网信工作的部署要求，提升业务能力及工作水平，降低我区网络安全隐患。做好网络舆情有关工作，推动我区网络舆情应对处置工作顺利开展，保障全区舆情形势平稳。</w:t>
      </w:r>
    </w:p>
    <w:p w14:paraId="48E45F46">
      <w:pPr>
        <w:spacing w:line="580" w:lineRule="exact"/>
        <w:ind w:right="160" w:firstLine="64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绩效指标：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检查演练工作开展次数（次）、检查工作整改达标率、工作完成时限、舆情监测预警、研判分析工作覆盖率、我区网络舆情检测处置率、业务处理及时性。</w:t>
      </w:r>
    </w:p>
    <w:p w14:paraId="58A2FDDC">
      <w:pPr>
        <w:spacing w:line="580" w:lineRule="exact"/>
        <w:ind w:right="160" w:firstLine="640" w:firstLineChars="200"/>
        <w:jc w:val="left"/>
        <w:rPr>
          <w:rFonts w:ascii="方正书宋_GBK" w:eastAsia="方正书宋_GBK"/>
          <w:b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2、网络信息宣传</w:t>
      </w:r>
    </w:p>
    <w:p w14:paraId="04F3A77A">
      <w:pPr>
        <w:spacing w:line="580" w:lineRule="exact"/>
        <w:ind w:right="160" w:firstLine="64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绩效目标：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通过网络安全宣传周活动，提高网络安全意识，使网络环境持续向好。 </w:t>
      </w:r>
    </w:p>
    <w:p w14:paraId="258A22E3">
      <w:pPr>
        <w:spacing w:line="580" w:lineRule="exact"/>
        <w:ind w:right="160" w:firstLine="64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绩效指标：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组织主题宣传活动场次（次）、宣传活动覆盖率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、宣传活动完成时间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47038E26">
      <w:pPr>
        <w:spacing w:line="580" w:lineRule="exact"/>
        <w:ind w:right="160" w:firstLine="641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3、网信综合事务</w:t>
      </w:r>
    </w:p>
    <w:p w14:paraId="093DED44">
      <w:pPr>
        <w:spacing w:line="580" w:lineRule="exact"/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绩效目标：</w:t>
      </w:r>
      <w:r>
        <w:rPr>
          <w:rFonts w:hint="eastAsia" w:ascii="仿宋_GB2312" w:hAnsi="仿宋_GB2312" w:eastAsia="仿宋_GB2312" w:cs="仿宋_GB2312"/>
          <w:sz w:val="32"/>
          <w:szCs w:val="32"/>
        </w:rPr>
        <w:t>确保各项业务工作谋划到位、顺利开展。保障机关工作正常高效运转。</w:t>
      </w:r>
    </w:p>
    <w:p w14:paraId="63EC59C7">
      <w:pPr>
        <w:spacing w:line="580" w:lineRule="exact"/>
        <w:ind w:firstLine="64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绩效指标：</w:t>
      </w:r>
      <w:r>
        <w:rPr>
          <w:rFonts w:hint="eastAsia" w:ascii="仿宋_GB2312" w:hAnsi="仿宋_GB2312" w:eastAsia="仿宋_GB2312" w:cs="仿宋_GB2312"/>
          <w:sz w:val="32"/>
          <w:szCs w:val="32"/>
        </w:rPr>
        <w:t>反映年度计划出台规划、制度完成情况占年度计划的比例、实际督察督办数占重点工作数的比例、综合事务工作任务完成情况占综合事务工作任务的比例。</w:t>
      </w:r>
    </w:p>
    <w:p w14:paraId="2F4A2F6A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3EDEA78D">
      <w:pPr>
        <w:spacing w:line="560" w:lineRule="exact"/>
        <w:ind w:firstLine="642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188271EC">
      <w:pPr>
        <w:spacing w:line="560" w:lineRule="exact"/>
        <w:ind w:firstLine="642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1.资料收集：评价小组收集了相关规章、制度、职责、工作计划等各种资料。</w:t>
      </w:r>
    </w:p>
    <w:p w14:paraId="74143DE1">
      <w:pPr>
        <w:spacing w:line="58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2.评价过程：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成立自评小组，制定方案，组织专门人员开展自评，集体讨论，形成自评报告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29A5DAF3">
      <w:pPr>
        <w:spacing w:line="58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3.评价工作管理组织：落实责任，强化考核任务落实，细化落实措施，做好工作谋划和考评指标跟踪、监控与问题整改。成立了预算绩效自评工作领导小组，切实加强对绩效工作的组织领导。</w:t>
      </w:r>
    </w:p>
    <w:p w14:paraId="6CC1D2FB">
      <w:pPr>
        <w:numPr>
          <w:ilvl w:val="0"/>
          <w:numId w:val="1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00977ADB">
      <w:pPr>
        <w:spacing w:line="580" w:lineRule="exact"/>
        <w:ind w:firstLine="642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我办成立绩效自评小组，制定自评科学完整的方案，收集专项自评相关资料，分析专项使用情况，出具自评价报告。</w:t>
      </w:r>
    </w:p>
    <w:p w14:paraId="031BE99B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67D76839"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1B1D1EEA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参照预算绩效文本中总体绩效目标，说明整体绩效目标实现情况。</w:t>
      </w:r>
    </w:p>
    <w:p w14:paraId="6B4C98D7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3E8A9EDF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参照预算绩效文本中分项绩效目标、指标，从完成数量、质量、时效、成本效益等方面，对分项目标指标完成情况进行评价，指标要细化、量化，得分依据要充分。</w:t>
      </w:r>
    </w:p>
    <w:p w14:paraId="179C6653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3D767232"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 w14:paraId="55A41225">
      <w:pPr>
        <w:spacing w:line="560" w:lineRule="exact"/>
        <w:ind w:firstLine="640" w:firstLineChars="200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五、存在的问题及改进措施</w:t>
      </w:r>
    </w:p>
    <w:p w14:paraId="17226B9C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7DDB14DA">
      <w:pPr>
        <w:spacing w:line="580" w:lineRule="exact"/>
        <w:ind w:firstLine="64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资金的绩效意识不够强，发挥资金效益还不够充分。</w:t>
      </w:r>
    </w:p>
    <w:p w14:paraId="728F1E93">
      <w:p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 w14:paraId="3280AA76">
      <w:pPr>
        <w:spacing w:line="580" w:lineRule="exact"/>
        <w:ind w:firstLine="640" w:firstLineChars="200"/>
        <w:rPr>
          <w:rFonts w:ascii="仿宋" w:hAnsi="仿宋" w:eastAsia="仿宋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健全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项目管理制度，制定项目用款计划、预期绩效目标，加强资金的绩效意识，充分发挥资金使用效益。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书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0D3E62">
    <w:pPr>
      <w:pStyle w:val="2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1CD7A130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1F187B"/>
    <w:rsid w:val="0053216A"/>
    <w:rsid w:val="006932BD"/>
    <w:rsid w:val="007416C6"/>
    <w:rsid w:val="007E6C1F"/>
    <w:rsid w:val="009000BE"/>
    <w:rsid w:val="00956A93"/>
    <w:rsid w:val="009E575C"/>
    <w:rsid w:val="00A024FC"/>
    <w:rsid w:val="00AF167E"/>
    <w:rsid w:val="00AF566A"/>
    <w:rsid w:val="00B478EA"/>
    <w:rsid w:val="00B6553A"/>
    <w:rsid w:val="00BC65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62461D"/>
    <w:rsid w:val="1AAF0063"/>
    <w:rsid w:val="1B740D26"/>
    <w:rsid w:val="1BE140DE"/>
    <w:rsid w:val="1E542E40"/>
    <w:rsid w:val="23A41624"/>
    <w:rsid w:val="248C197D"/>
    <w:rsid w:val="252959AF"/>
    <w:rsid w:val="277A6671"/>
    <w:rsid w:val="292D35B7"/>
    <w:rsid w:val="30C72F50"/>
    <w:rsid w:val="33EB6CFF"/>
    <w:rsid w:val="35A12947"/>
    <w:rsid w:val="37387040"/>
    <w:rsid w:val="3B625C0A"/>
    <w:rsid w:val="3CC34B23"/>
    <w:rsid w:val="3CEE1963"/>
    <w:rsid w:val="436B78D3"/>
    <w:rsid w:val="43B20089"/>
    <w:rsid w:val="4C9C27FE"/>
    <w:rsid w:val="502A44B1"/>
    <w:rsid w:val="512260B4"/>
    <w:rsid w:val="52BD6ACB"/>
    <w:rsid w:val="55537534"/>
    <w:rsid w:val="561A74F1"/>
    <w:rsid w:val="58B17416"/>
    <w:rsid w:val="597244E8"/>
    <w:rsid w:val="5EB71C30"/>
    <w:rsid w:val="66AF0CE5"/>
    <w:rsid w:val="68AC2130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部门职责文件"/>
    <w:basedOn w:val="1"/>
    <w:qFormat/>
    <w:uiPriority w:val="0"/>
    <w:pPr>
      <w:spacing w:line="500" w:lineRule="exact"/>
      <w:ind w:firstLine="560"/>
      <w:jc w:val="left"/>
    </w:pPr>
    <w:rPr>
      <w:rFonts w:ascii="Times New Roman" w:hAnsi="Times New Roman" w:eastAsia="方正仿宋_GBK" w:cs="Times New Roman"/>
      <w:sz w:val="28"/>
    </w:rPr>
  </w:style>
  <w:style w:type="paragraph" w:customStyle="1" w:styleId="7">
    <w:name w:val="单元格样式1"/>
    <w:basedOn w:val="1"/>
    <w:qFormat/>
    <w:uiPriority w:val="0"/>
    <w:pPr>
      <w:jc w:val="center"/>
    </w:pPr>
    <w:rPr>
      <w:rFonts w:ascii="方正书宋_GBK" w:hAnsi="方正书宋_GBK" w:eastAsia="方正书宋_GBK" w:cs="方正书宋_GBK"/>
      <w:b/>
    </w:rPr>
  </w:style>
  <w:style w:type="paragraph" w:customStyle="1" w:styleId="8">
    <w:name w:val="单元格样式2"/>
    <w:basedOn w:val="1"/>
    <w:qFormat/>
    <w:uiPriority w:val="0"/>
    <w:pPr>
      <w:jc w:val="left"/>
    </w:pPr>
    <w:rPr>
      <w:rFonts w:ascii="方正书宋_GBK" w:hAnsi="方正书宋_GBK" w:eastAsia="方正书宋_GBK" w:cs="方正书宋_GBK"/>
    </w:rPr>
  </w:style>
  <w:style w:type="paragraph" w:customStyle="1" w:styleId="9">
    <w:name w:val="单元格样式3"/>
    <w:basedOn w:val="1"/>
    <w:qFormat/>
    <w:uiPriority w:val="0"/>
    <w:pPr>
      <w:jc w:val="center"/>
    </w:pPr>
    <w:rPr>
      <w:rFonts w:ascii="方正书宋_GBK" w:hAnsi="方正书宋_GBK" w:eastAsia="方正书宋_GBK" w:cs="方正书宋_GBK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95</Words>
  <Characters>547</Characters>
  <Lines>4</Lines>
  <Paragraphs>1</Paragraphs>
  <TotalTime>0</TotalTime>
  <ScaleCrop>false</ScaleCrop>
  <LinksUpToDate>false</LinksUpToDate>
  <CharactersWithSpaces>641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CMGE-PC</cp:lastModifiedBy>
  <cp:lastPrinted>2026-03-03T01:23:00Z</cp:lastPrinted>
  <dcterms:modified xsi:type="dcterms:W3CDTF">2026-05-15T07:50:41Z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eyJoZGlkIjoiMDRiNGJkYjBiMjRiNTM2Zjk5YWM2NmU3YTc2OThjMTYiLCJ1c2VySWQiOiIxMDI2NzA5MTgxIn0=</vt:lpwstr>
  </property>
</Properties>
</file>