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4B1974">
      <w:pPr>
        <w:adjustRightInd w:val="0"/>
        <w:snapToGrid w:val="0"/>
        <w:spacing w:line="560" w:lineRule="exact"/>
        <w:rPr>
          <w:rFonts w:hint="eastAsia" w:ascii="黑体" w:hAnsi="黑体" w:eastAsia="黑体" w:cs="黑体"/>
          <w:sz w:val="32"/>
          <w:szCs w:val="32"/>
        </w:rPr>
      </w:pPr>
      <w:r>
        <w:rPr>
          <w:rFonts w:hint="eastAsia" w:ascii="黑体" w:hAnsi="黑体" w:eastAsia="黑体" w:cs="黑体"/>
          <w:sz w:val="32"/>
          <w:szCs w:val="32"/>
        </w:rPr>
        <w:t>附件4</w:t>
      </w:r>
    </w:p>
    <w:p w14:paraId="111944E4">
      <w:pPr>
        <w:spacing w:line="560" w:lineRule="exact"/>
        <w:jc w:val="center"/>
        <w:rPr>
          <w:rFonts w:ascii="宋体" w:hAnsi="宋体" w:cs="宋体"/>
          <w:b/>
          <w:bCs/>
          <w:sz w:val="44"/>
          <w:szCs w:val="44"/>
        </w:rPr>
      </w:pPr>
    </w:p>
    <w:p w14:paraId="0BD0E3DC">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新华区委宣传部</w:t>
      </w:r>
    </w:p>
    <w:p w14:paraId="6BD3AF66">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5</w:t>
      </w:r>
      <w:r>
        <w:rPr>
          <w:rFonts w:hint="eastAsia" w:ascii="宋体" w:hAnsi="宋体" w:cs="宋体"/>
          <w:b/>
          <w:bCs/>
          <w:sz w:val="44"/>
          <w:szCs w:val="44"/>
        </w:rPr>
        <w:t>年度整体支出绩效自评报告</w:t>
      </w:r>
    </w:p>
    <w:p w14:paraId="4535DB62">
      <w:pPr>
        <w:spacing w:line="560" w:lineRule="exact"/>
        <w:jc w:val="center"/>
        <w:rPr>
          <w:rFonts w:ascii="华文楷体" w:eastAsia="华文楷体"/>
          <w:sz w:val="32"/>
          <w:szCs w:val="32"/>
        </w:rPr>
      </w:pPr>
    </w:p>
    <w:p w14:paraId="7EB8BC5F">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贯彻落实区委区政府《关于全面落实预算绩效管理的实施意见》（新华发〔2019〕9号）文件精神，遵循“科学性、规范性、客观性和公正性”的原则，对</w:t>
      </w:r>
      <w:r>
        <w:rPr>
          <w:rFonts w:hint="eastAsia" w:ascii="仿宋" w:hAnsi="仿宋" w:eastAsia="仿宋"/>
          <w:sz w:val="32"/>
          <w:szCs w:val="32"/>
          <w:lang w:eastAsia="zh-CN"/>
        </w:rPr>
        <w:t>新华区委宣传部</w:t>
      </w:r>
      <w:r>
        <w:rPr>
          <w:rFonts w:hint="eastAsia" w:ascii="仿宋" w:hAnsi="仿宋" w:eastAsia="仿宋"/>
          <w:sz w:val="32"/>
          <w:szCs w:val="32"/>
        </w:rPr>
        <w:t>202</w:t>
      </w:r>
      <w:r>
        <w:rPr>
          <w:rFonts w:hint="eastAsia" w:ascii="仿宋" w:hAnsi="仿宋" w:eastAsia="仿宋"/>
          <w:sz w:val="32"/>
          <w:szCs w:val="32"/>
          <w:lang w:val="en-US" w:eastAsia="zh-CN"/>
        </w:rPr>
        <w:t>5</w:t>
      </w:r>
      <w:r>
        <w:rPr>
          <w:rFonts w:hint="eastAsia" w:ascii="仿宋" w:hAnsi="仿宋" w:eastAsia="仿宋"/>
          <w:sz w:val="32"/>
          <w:szCs w:val="32"/>
        </w:rPr>
        <w:t>年整体支出情况实施了财政支出绩效自评价，形成本评价报告。</w:t>
      </w:r>
    </w:p>
    <w:p w14:paraId="3D88BA6B">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7E4845BA">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7D465F20">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rPr>
        <w:t>根据《中共石家庄市新华区委宣传部职能配置、内设机构和人员编制规定》，中共石家庄市新华区委宣传部的主要职责是：</w:t>
      </w:r>
    </w:p>
    <w:p w14:paraId="12704AA9">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1、拟定全区宣传思想文化工作重大方针政策和事业发展总体规划，按照区委统一部署，协调宣传思想文化系统各部门之间的工作</w:t>
      </w:r>
      <w:r>
        <w:rPr>
          <w:rFonts w:hint="eastAsia" w:ascii="仿宋" w:hAnsi="仿宋" w:eastAsia="仿宋"/>
          <w:sz w:val="32"/>
          <w:szCs w:val="32"/>
        </w:rPr>
        <w:t>。</w:t>
      </w:r>
    </w:p>
    <w:p w14:paraId="5CBF3F82">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2、统筹指导协调全区理论研究、理论学习、理论宣传工作，组织推动理论武装工作，负责区委理论学习中心组理论学习的有关工作</w:t>
      </w:r>
      <w:r>
        <w:rPr>
          <w:rFonts w:hint="eastAsia" w:ascii="仿宋" w:hAnsi="仿宋" w:eastAsia="仿宋"/>
          <w:sz w:val="32"/>
          <w:szCs w:val="32"/>
        </w:rPr>
        <w:t>。</w:t>
      </w:r>
    </w:p>
    <w:p w14:paraId="2A4961DA">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3、</w:t>
      </w:r>
      <w:r>
        <w:rPr>
          <w:rFonts w:hint="eastAsia" w:ascii="仿宋" w:hAnsi="仿宋" w:eastAsia="仿宋"/>
          <w:sz w:val="32"/>
          <w:szCs w:val="32"/>
        </w:rPr>
        <w:t>负责</w:t>
      </w:r>
      <w:r>
        <w:rPr>
          <w:rFonts w:hint="eastAsia" w:ascii="仿宋" w:hAnsi="仿宋" w:eastAsia="仿宋"/>
          <w:sz w:val="32"/>
          <w:szCs w:val="32"/>
          <w:lang w:val="en-US" w:eastAsia="zh-CN"/>
        </w:rPr>
        <w:t>规划组织全区全局性思想政治工作任务，组织对先进典型的学习推广。</w:t>
      </w:r>
      <w:r>
        <w:rPr>
          <w:rFonts w:hint="eastAsia" w:ascii="仿宋" w:hAnsi="仿宋" w:eastAsia="仿宋"/>
          <w:sz w:val="32"/>
          <w:szCs w:val="32"/>
        </w:rPr>
        <w:t>全区新闻宣传报道工作，引导社会舆论，负责组织协调我区对外宣传工作。</w:t>
      </w:r>
    </w:p>
    <w:p w14:paraId="135B295F">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4、统筹研究拟定有关全区精神文明建设的方针、政策。规划部署全区精神文明建设工作，组织指导全区群众性精神文明创建活动</w:t>
      </w:r>
      <w:r>
        <w:rPr>
          <w:rFonts w:hint="eastAsia" w:ascii="仿宋" w:hAnsi="仿宋" w:eastAsia="仿宋"/>
          <w:sz w:val="32"/>
          <w:szCs w:val="32"/>
        </w:rPr>
        <w:t>。</w:t>
      </w:r>
    </w:p>
    <w:p w14:paraId="2B932D45">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5、</w:t>
      </w:r>
      <w:r>
        <w:rPr>
          <w:rFonts w:hint="eastAsia" w:ascii="仿宋" w:hAnsi="仿宋" w:eastAsia="仿宋"/>
          <w:sz w:val="32"/>
          <w:szCs w:val="32"/>
        </w:rPr>
        <w:t>负责全区宣传队伍的建设，对全区</w:t>
      </w:r>
      <w:r>
        <w:rPr>
          <w:rFonts w:hint="eastAsia" w:ascii="仿宋" w:hAnsi="仿宋" w:eastAsia="仿宋"/>
          <w:sz w:val="32"/>
          <w:szCs w:val="32"/>
          <w:lang w:val="en-US" w:eastAsia="zh-CN"/>
        </w:rPr>
        <w:t>宣传文化系统干部进行</w:t>
      </w:r>
      <w:r>
        <w:rPr>
          <w:rFonts w:hint="eastAsia" w:ascii="仿宋" w:hAnsi="仿宋" w:eastAsia="仿宋"/>
          <w:sz w:val="32"/>
          <w:szCs w:val="32"/>
        </w:rPr>
        <w:t>培训等工作。</w:t>
      </w:r>
    </w:p>
    <w:p w14:paraId="7BADDE94">
      <w:pPr>
        <w:adjustRightInd w:val="0"/>
        <w:snapToGrid w:val="0"/>
        <w:spacing w:line="560" w:lineRule="exact"/>
        <w:ind w:firstLine="640" w:firstLineChars="200"/>
        <w:rPr>
          <w:rFonts w:hint="eastAsia" w:ascii="仿宋" w:hAnsi="仿宋" w:eastAsia="仿宋"/>
          <w:sz w:val="32"/>
          <w:szCs w:val="32"/>
        </w:rPr>
      </w:pPr>
      <w:r>
        <w:rPr>
          <w:rFonts w:hint="eastAsia" w:ascii="仿宋" w:hAnsi="仿宋" w:eastAsia="仿宋"/>
          <w:sz w:val="32"/>
          <w:szCs w:val="32"/>
          <w:lang w:val="en-US" w:eastAsia="zh-CN"/>
        </w:rPr>
        <w:t>6、</w:t>
      </w:r>
      <w:r>
        <w:rPr>
          <w:rFonts w:hint="eastAsia" w:ascii="仿宋" w:hAnsi="仿宋" w:eastAsia="仿宋"/>
          <w:sz w:val="32"/>
          <w:szCs w:val="32"/>
        </w:rPr>
        <w:t>负责全区</w:t>
      </w:r>
      <w:r>
        <w:rPr>
          <w:rFonts w:hint="eastAsia" w:ascii="仿宋" w:hAnsi="仿宋" w:eastAsia="仿宋"/>
          <w:sz w:val="32"/>
          <w:szCs w:val="32"/>
          <w:lang w:val="en-US" w:eastAsia="zh-CN"/>
        </w:rPr>
        <w:t>国防教育</w:t>
      </w:r>
      <w:r>
        <w:rPr>
          <w:rFonts w:hint="eastAsia" w:ascii="仿宋" w:hAnsi="仿宋" w:eastAsia="仿宋"/>
          <w:sz w:val="32"/>
          <w:szCs w:val="32"/>
        </w:rPr>
        <w:t>工作。</w:t>
      </w:r>
    </w:p>
    <w:p w14:paraId="24E81C78">
      <w:pPr>
        <w:adjustRightInd w:val="0"/>
        <w:snapToGrid w:val="0"/>
        <w:spacing w:line="560" w:lineRule="exact"/>
        <w:ind w:firstLine="640" w:firstLineChars="200"/>
        <w:rPr>
          <w:rFonts w:hint="eastAsia" w:ascii="仿宋" w:hAnsi="仿宋" w:eastAsia="仿宋"/>
          <w:sz w:val="32"/>
          <w:szCs w:val="32"/>
          <w:lang w:eastAsia="zh-CN"/>
        </w:rPr>
      </w:pPr>
      <w:r>
        <w:rPr>
          <w:rFonts w:hint="eastAsia" w:ascii="仿宋" w:hAnsi="仿宋" w:eastAsia="仿宋"/>
          <w:sz w:val="32"/>
          <w:szCs w:val="32"/>
          <w:lang w:val="en-US" w:eastAsia="zh-CN"/>
        </w:rPr>
        <w:t>7、</w:t>
      </w:r>
      <w:r>
        <w:rPr>
          <w:rFonts w:hint="eastAsia" w:ascii="仿宋" w:hAnsi="仿宋" w:eastAsia="仿宋"/>
          <w:sz w:val="32"/>
          <w:szCs w:val="32"/>
        </w:rPr>
        <w:t>完成省、市委宣传部和区委交办的其他任务</w:t>
      </w:r>
      <w:r>
        <w:rPr>
          <w:rFonts w:hint="eastAsia" w:ascii="仿宋" w:hAnsi="仿宋" w:eastAsia="仿宋"/>
          <w:sz w:val="32"/>
          <w:szCs w:val="32"/>
          <w:lang w:eastAsia="zh-CN"/>
        </w:rPr>
        <w:t>。</w:t>
      </w:r>
    </w:p>
    <w:p w14:paraId="357A922E">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lang w:eastAsia="zh-CN"/>
        </w:rPr>
        <w:t>中共石家庄市新华区委宣传部为正科级行政单位，共有</w:t>
      </w:r>
      <w:r>
        <w:rPr>
          <w:rFonts w:hint="eastAsia" w:ascii="仿宋" w:hAnsi="仿宋" w:eastAsia="仿宋"/>
          <w:sz w:val="32"/>
          <w:szCs w:val="32"/>
          <w:lang w:val="en-US" w:eastAsia="zh-CN"/>
        </w:rPr>
        <w:t>3</w:t>
      </w:r>
      <w:r>
        <w:rPr>
          <w:rFonts w:hint="eastAsia" w:ascii="仿宋" w:hAnsi="仿宋" w:eastAsia="仿宋"/>
          <w:sz w:val="32"/>
          <w:szCs w:val="32"/>
          <w:lang w:eastAsia="zh-CN"/>
        </w:rPr>
        <w:t>个内设机构分别为：办公室、新闻</w:t>
      </w:r>
      <w:r>
        <w:rPr>
          <w:rFonts w:hint="eastAsia" w:ascii="仿宋" w:hAnsi="仿宋" w:eastAsia="仿宋"/>
          <w:sz w:val="32"/>
          <w:szCs w:val="32"/>
          <w:lang w:val="en-US" w:eastAsia="zh-CN"/>
        </w:rPr>
        <w:t>宣传</w:t>
      </w:r>
      <w:r>
        <w:rPr>
          <w:rFonts w:hint="eastAsia" w:ascii="仿宋" w:hAnsi="仿宋" w:eastAsia="仿宋"/>
          <w:sz w:val="32"/>
          <w:szCs w:val="32"/>
          <w:lang w:eastAsia="zh-CN"/>
        </w:rPr>
        <w:t>股、文明办，</w:t>
      </w:r>
      <w:r>
        <w:rPr>
          <w:rFonts w:hint="eastAsia" w:ascii="仿宋" w:hAnsi="仿宋" w:eastAsia="仿宋"/>
          <w:sz w:val="32"/>
          <w:szCs w:val="32"/>
          <w:lang w:val="en-US" w:eastAsia="zh-CN"/>
        </w:rPr>
        <w:t>1个下属事业单位为：新华区新时代文明实践服务中心，</w:t>
      </w:r>
      <w:r>
        <w:rPr>
          <w:rFonts w:hint="eastAsia" w:ascii="仿宋" w:hAnsi="仿宋" w:eastAsia="仿宋"/>
          <w:sz w:val="32"/>
          <w:szCs w:val="32"/>
          <w:lang w:eastAsia="zh-CN"/>
        </w:rPr>
        <w:t>机关行政编制</w:t>
      </w:r>
      <w:r>
        <w:rPr>
          <w:rFonts w:hint="eastAsia" w:ascii="仿宋" w:hAnsi="仿宋" w:eastAsia="仿宋"/>
          <w:sz w:val="32"/>
          <w:szCs w:val="32"/>
          <w:lang w:val="en-US" w:eastAsia="zh-CN"/>
        </w:rPr>
        <w:t>10名、事业编制5名，</w:t>
      </w:r>
      <w:r>
        <w:rPr>
          <w:rFonts w:hint="eastAsia" w:ascii="仿宋" w:hAnsi="仿宋" w:eastAsia="仿宋" w:cs="仿宋"/>
          <w:sz w:val="32"/>
          <w:szCs w:val="32"/>
        </w:rPr>
        <w:t>经费保障形式</w:t>
      </w:r>
      <w:r>
        <w:rPr>
          <w:rFonts w:hint="eastAsia" w:ascii="仿宋" w:hAnsi="仿宋" w:eastAsia="仿宋"/>
          <w:sz w:val="32"/>
          <w:szCs w:val="32"/>
          <w:lang w:val="en-US" w:eastAsia="zh-CN"/>
        </w:rPr>
        <w:t>为财政拨款。</w:t>
      </w:r>
    </w:p>
    <w:p w14:paraId="2F3EE84A">
      <w:pPr>
        <w:numPr>
          <w:ilvl w:val="0"/>
          <w:numId w:val="2"/>
        </w:num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部门收支预决算情况</w:t>
      </w:r>
    </w:p>
    <w:p w14:paraId="2096CAD3">
      <w:pPr>
        <w:adjustRightInd w:val="0"/>
        <w:snapToGrid w:val="0"/>
        <w:spacing w:line="560" w:lineRule="exact"/>
        <w:ind w:firstLine="640" w:firstLineChars="200"/>
        <w:rPr>
          <w:rFonts w:hint="eastAsia" w:ascii="仿宋" w:hAnsi="仿宋" w:eastAsia="仿宋" w:cs="仿宋"/>
          <w:sz w:val="32"/>
          <w:szCs w:val="32"/>
          <w:highlight w:val="none"/>
          <w:lang w:val="en-US" w:eastAsia="zh-CN"/>
        </w:rPr>
      </w:pPr>
      <w:r>
        <w:rPr>
          <w:rFonts w:hint="eastAsia" w:ascii="仿宋" w:hAnsi="仿宋" w:eastAsia="仿宋" w:cs="仿宋"/>
          <w:sz w:val="32"/>
          <w:szCs w:val="32"/>
          <w:highlight w:val="none"/>
        </w:rPr>
        <w:t>1、收入说明</w:t>
      </w:r>
    </w:p>
    <w:p w14:paraId="65CF168B">
      <w:pPr>
        <w:adjustRightInd w:val="0"/>
        <w:snapToGrid w:val="0"/>
        <w:spacing w:line="560" w:lineRule="exact"/>
        <w:ind w:firstLine="640" w:firstLineChars="200"/>
        <w:rPr>
          <w:rFonts w:hint="default"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rPr>
        <w:t>202</w:t>
      </w:r>
      <w:r>
        <w:rPr>
          <w:rFonts w:hint="eastAsia" w:ascii="仿宋" w:hAnsi="仿宋" w:eastAsia="仿宋" w:cs="仿宋"/>
          <w:color w:val="auto"/>
          <w:sz w:val="32"/>
          <w:szCs w:val="32"/>
          <w:highlight w:val="none"/>
          <w:lang w:val="en-US" w:eastAsia="zh-CN"/>
        </w:rPr>
        <w:t>5</w:t>
      </w:r>
      <w:r>
        <w:rPr>
          <w:rFonts w:hint="eastAsia" w:ascii="仿宋" w:hAnsi="仿宋" w:eastAsia="仿宋" w:cs="仿宋"/>
          <w:color w:val="auto"/>
          <w:sz w:val="32"/>
          <w:szCs w:val="32"/>
          <w:highlight w:val="none"/>
        </w:rPr>
        <w:t>年预算收入</w:t>
      </w:r>
      <w:r>
        <w:rPr>
          <w:rFonts w:hint="eastAsia" w:ascii="仿宋" w:hAnsi="仿宋" w:eastAsia="仿宋" w:cs="仿宋"/>
          <w:color w:val="auto"/>
          <w:sz w:val="32"/>
          <w:szCs w:val="32"/>
          <w:highlight w:val="none"/>
          <w:lang w:val="en-US" w:eastAsia="zh-CN"/>
        </w:rPr>
        <w:t>361.74万元</w:t>
      </w:r>
      <w:r>
        <w:rPr>
          <w:rFonts w:hint="eastAsia" w:ascii="仿宋" w:hAnsi="仿宋" w:eastAsia="仿宋" w:cs="仿宋"/>
          <w:color w:val="auto"/>
          <w:sz w:val="32"/>
          <w:szCs w:val="32"/>
          <w:highlight w:val="none"/>
        </w:rPr>
        <w:t>，一般公共预算拨款为</w:t>
      </w:r>
      <w:r>
        <w:rPr>
          <w:rFonts w:hint="eastAsia" w:ascii="仿宋" w:hAnsi="仿宋" w:eastAsia="仿宋" w:cs="仿宋"/>
          <w:color w:val="auto"/>
          <w:sz w:val="32"/>
          <w:szCs w:val="32"/>
          <w:highlight w:val="none"/>
          <w:lang w:val="en-US" w:eastAsia="zh-CN"/>
        </w:rPr>
        <w:t>325.43</w:t>
      </w:r>
      <w:r>
        <w:rPr>
          <w:rFonts w:hint="eastAsia" w:ascii="仿宋" w:hAnsi="仿宋" w:eastAsia="仿宋" w:cs="仿宋"/>
          <w:color w:val="auto"/>
          <w:sz w:val="32"/>
          <w:szCs w:val="32"/>
          <w:highlight w:val="none"/>
        </w:rPr>
        <w:t>万元，</w:t>
      </w:r>
      <w:r>
        <w:rPr>
          <w:rFonts w:hint="eastAsia" w:ascii="仿宋" w:hAnsi="仿宋" w:eastAsia="仿宋" w:cs="仿宋"/>
          <w:color w:val="auto"/>
          <w:sz w:val="32"/>
          <w:szCs w:val="32"/>
          <w:highlight w:val="none"/>
          <w:lang w:val="en-US" w:eastAsia="zh-CN"/>
        </w:rPr>
        <w:t>政府性基金预算拨款收入24万元，上年结转结余12.31</w:t>
      </w:r>
      <w:r>
        <w:rPr>
          <w:rFonts w:hint="eastAsia" w:ascii="仿宋" w:hAnsi="仿宋" w:eastAsia="仿宋" w:cs="仿宋"/>
          <w:color w:val="auto"/>
          <w:sz w:val="32"/>
          <w:szCs w:val="32"/>
          <w:highlight w:val="none"/>
        </w:rPr>
        <w:t>万元</w:t>
      </w: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决算收入465.59万元，决算收入比预算大的原因为上级专项资金的下达和项目资金的追加等。</w:t>
      </w:r>
    </w:p>
    <w:p w14:paraId="1B07E627">
      <w:pPr>
        <w:adjustRightInd w:val="0"/>
        <w:snapToGrid w:val="0"/>
        <w:spacing w:line="560" w:lineRule="exact"/>
        <w:ind w:firstLine="640" w:firstLineChars="200"/>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2、支出说明</w:t>
      </w:r>
    </w:p>
    <w:p w14:paraId="44B1F0D0">
      <w:pPr>
        <w:adjustRightInd w:val="0"/>
        <w:snapToGrid w:val="0"/>
        <w:spacing w:line="560" w:lineRule="exact"/>
        <w:ind w:firstLine="640" w:firstLineChars="200"/>
        <w:rPr>
          <w:rFonts w:hint="default" w:ascii="仿宋" w:hAnsi="仿宋" w:eastAsia="仿宋" w:cs="仿宋"/>
          <w:color w:val="auto"/>
          <w:sz w:val="32"/>
          <w:szCs w:val="32"/>
          <w:highlight w:val="none"/>
          <w:lang w:val="en-US" w:eastAsia="zh-CN"/>
        </w:rPr>
      </w:pPr>
      <w:r>
        <w:rPr>
          <w:rFonts w:hint="eastAsia" w:ascii="仿宋" w:hAnsi="仿宋" w:eastAsia="仿宋" w:cs="仿宋"/>
          <w:color w:val="auto"/>
          <w:sz w:val="32"/>
          <w:szCs w:val="32"/>
          <w:highlight w:val="none"/>
        </w:rPr>
        <w:t>202</w:t>
      </w:r>
      <w:r>
        <w:rPr>
          <w:rFonts w:hint="eastAsia" w:ascii="仿宋" w:hAnsi="仿宋" w:eastAsia="仿宋" w:cs="仿宋"/>
          <w:color w:val="auto"/>
          <w:sz w:val="32"/>
          <w:szCs w:val="32"/>
          <w:highlight w:val="none"/>
          <w:lang w:val="en-US" w:eastAsia="zh-CN"/>
        </w:rPr>
        <w:t>5</w:t>
      </w:r>
      <w:r>
        <w:rPr>
          <w:rFonts w:hint="eastAsia" w:ascii="仿宋" w:hAnsi="仿宋" w:eastAsia="仿宋" w:cs="仿宋"/>
          <w:color w:val="auto"/>
          <w:sz w:val="32"/>
          <w:szCs w:val="32"/>
          <w:highlight w:val="none"/>
        </w:rPr>
        <w:t xml:space="preserve"> 年预算支出 </w:t>
      </w:r>
      <w:r>
        <w:rPr>
          <w:rFonts w:hint="eastAsia" w:ascii="仿宋" w:hAnsi="仿宋" w:eastAsia="仿宋" w:cs="仿宋"/>
          <w:color w:val="auto"/>
          <w:sz w:val="32"/>
          <w:szCs w:val="32"/>
          <w:highlight w:val="none"/>
          <w:lang w:val="en-US" w:eastAsia="zh-CN"/>
        </w:rPr>
        <w:t>361.74</w:t>
      </w:r>
      <w:r>
        <w:rPr>
          <w:rFonts w:hint="eastAsia" w:ascii="仿宋" w:hAnsi="仿宋" w:eastAsia="仿宋" w:cs="仿宋"/>
          <w:color w:val="auto"/>
          <w:sz w:val="32"/>
          <w:szCs w:val="32"/>
          <w:highlight w:val="none"/>
        </w:rPr>
        <w:t>万元</w:t>
      </w:r>
      <w:r>
        <w:rPr>
          <w:rFonts w:hint="eastAsia" w:ascii="仿宋" w:hAnsi="仿宋" w:eastAsia="仿宋" w:cs="仿宋"/>
          <w:color w:val="auto"/>
          <w:sz w:val="32"/>
          <w:szCs w:val="32"/>
          <w:highlight w:val="none"/>
          <w:lang w:eastAsia="zh-CN"/>
        </w:rPr>
        <w:t>。</w:t>
      </w:r>
      <w:r>
        <w:rPr>
          <w:rFonts w:hint="eastAsia" w:ascii="仿宋" w:hAnsi="仿宋" w:eastAsia="仿宋" w:cs="仿宋"/>
          <w:color w:val="auto"/>
          <w:sz w:val="32"/>
          <w:szCs w:val="32"/>
          <w:highlight w:val="none"/>
          <w:lang w:val="en-US" w:eastAsia="zh-CN"/>
        </w:rPr>
        <w:t>2025年决算支出465.59万元，决算支出比预算大的原因为上级专项资金的下达和项目资金的追加等。</w:t>
      </w:r>
    </w:p>
    <w:p w14:paraId="6C3C0511">
      <w:pPr>
        <w:adjustRightInd w:val="0"/>
        <w:snapToGrid w:val="0"/>
        <w:spacing w:line="560" w:lineRule="exact"/>
        <w:ind w:firstLine="640" w:firstLineChars="200"/>
        <w:rPr>
          <w:rFonts w:hint="eastAsia" w:ascii="仿宋" w:hAnsi="仿宋" w:eastAsia="仿宋" w:cs="仿宋"/>
          <w:color w:val="auto"/>
          <w:sz w:val="32"/>
          <w:szCs w:val="32"/>
          <w:highlight w:val="none"/>
        </w:rPr>
      </w:pPr>
      <w:r>
        <w:rPr>
          <w:rFonts w:hint="eastAsia" w:ascii="仿宋" w:hAnsi="仿宋" w:eastAsia="仿宋" w:cs="仿宋"/>
          <w:color w:val="auto"/>
          <w:sz w:val="32"/>
          <w:szCs w:val="32"/>
          <w:highlight w:val="none"/>
        </w:rPr>
        <w:t>3、比上年增减情况</w:t>
      </w:r>
    </w:p>
    <w:p w14:paraId="2B896A56">
      <w:pPr>
        <w:pStyle w:val="17"/>
        <w:numPr>
          <w:ilvl w:val="0"/>
          <w:numId w:val="0"/>
        </w:numPr>
        <w:ind w:firstLine="640" w:firstLineChars="200"/>
        <w:rPr>
          <w:color w:val="FF0000"/>
          <w:highlight w:val="none"/>
        </w:rPr>
      </w:pPr>
      <w:r>
        <w:rPr>
          <w:rFonts w:hint="eastAsia" w:ascii="仿宋" w:hAnsi="仿宋" w:eastAsia="仿宋" w:cs="仿宋"/>
          <w:color w:val="auto"/>
          <w:sz w:val="32"/>
          <w:szCs w:val="32"/>
          <w:highlight w:val="none"/>
        </w:rPr>
        <w:t>202</w:t>
      </w:r>
      <w:r>
        <w:rPr>
          <w:rFonts w:hint="eastAsia" w:ascii="仿宋" w:hAnsi="仿宋" w:eastAsia="仿宋" w:cs="仿宋"/>
          <w:color w:val="auto"/>
          <w:sz w:val="32"/>
          <w:szCs w:val="32"/>
          <w:highlight w:val="none"/>
          <w:lang w:val="en-US" w:eastAsia="zh-CN"/>
        </w:rPr>
        <w:t>5</w:t>
      </w:r>
      <w:r>
        <w:rPr>
          <w:rFonts w:hint="eastAsia" w:ascii="仿宋" w:hAnsi="仿宋" w:eastAsia="仿宋" w:cs="仿宋"/>
          <w:color w:val="auto"/>
          <w:sz w:val="32"/>
          <w:szCs w:val="32"/>
          <w:highlight w:val="none"/>
        </w:rPr>
        <w:t>年预算收支安排</w:t>
      </w:r>
      <w:r>
        <w:rPr>
          <w:rFonts w:hint="eastAsia" w:ascii="仿宋" w:hAnsi="仿宋" w:eastAsia="仿宋" w:cs="仿宋"/>
          <w:color w:val="auto"/>
          <w:kern w:val="2"/>
          <w:sz w:val="32"/>
          <w:szCs w:val="32"/>
          <w:highlight w:val="none"/>
          <w:lang w:val="en-US" w:eastAsia="zh-CN" w:bidi="ar-SA"/>
        </w:rPr>
        <w:t>361.74</w:t>
      </w:r>
      <w:r>
        <w:rPr>
          <w:rFonts w:hint="eastAsia" w:ascii="仿宋" w:hAnsi="仿宋" w:eastAsia="仿宋" w:cs="仿宋"/>
          <w:color w:val="auto"/>
          <w:sz w:val="32"/>
          <w:szCs w:val="32"/>
          <w:highlight w:val="none"/>
        </w:rPr>
        <w:t>万元，较202</w:t>
      </w:r>
      <w:r>
        <w:rPr>
          <w:rFonts w:hint="eastAsia" w:ascii="仿宋" w:hAnsi="仿宋" w:eastAsia="仿宋" w:cs="仿宋"/>
          <w:color w:val="auto"/>
          <w:sz w:val="32"/>
          <w:szCs w:val="32"/>
          <w:highlight w:val="none"/>
          <w:lang w:val="en-US" w:eastAsia="zh-CN"/>
        </w:rPr>
        <w:t>4</w:t>
      </w:r>
      <w:r>
        <w:rPr>
          <w:rFonts w:hint="eastAsia" w:ascii="仿宋" w:hAnsi="仿宋" w:eastAsia="仿宋" w:cs="仿宋"/>
          <w:color w:val="auto"/>
          <w:sz w:val="32"/>
          <w:szCs w:val="32"/>
          <w:highlight w:val="none"/>
        </w:rPr>
        <w:t>年预算</w:t>
      </w:r>
      <w:r>
        <w:rPr>
          <w:rFonts w:hint="eastAsia" w:ascii="仿宋" w:hAnsi="仿宋" w:eastAsia="仿宋" w:cs="仿宋"/>
          <w:color w:val="auto"/>
          <w:sz w:val="32"/>
          <w:szCs w:val="32"/>
          <w:highlight w:val="none"/>
          <w:lang w:val="en-US" w:eastAsia="zh-CN"/>
        </w:rPr>
        <w:t>增加33.72</w:t>
      </w:r>
      <w:r>
        <w:rPr>
          <w:rFonts w:hint="eastAsia" w:ascii="仿宋" w:hAnsi="仿宋" w:eastAsia="仿宋" w:cs="仿宋"/>
          <w:color w:val="auto"/>
          <w:sz w:val="32"/>
          <w:szCs w:val="32"/>
          <w:highlight w:val="none"/>
        </w:rPr>
        <w:t>万元，其中，</w:t>
      </w:r>
      <w:r>
        <w:rPr>
          <w:rFonts w:hint="eastAsia" w:ascii="仿宋" w:hAnsi="仿宋" w:eastAsia="仿宋" w:cs="仿宋"/>
          <w:color w:val="auto"/>
          <w:sz w:val="32"/>
          <w:szCs w:val="32"/>
          <w:highlight w:val="none"/>
          <w:lang w:val="en-US" w:eastAsia="zh-CN"/>
        </w:rPr>
        <w:t>基本</w:t>
      </w:r>
      <w:r>
        <w:rPr>
          <w:rFonts w:hint="eastAsia" w:ascii="仿宋" w:hAnsi="仿宋" w:eastAsia="仿宋" w:cs="仿宋"/>
          <w:color w:val="auto"/>
          <w:sz w:val="32"/>
          <w:szCs w:val="32"/>
          <w:highlight w:val="none"/>
        </w:rPr>
        <w:t>支出</w:t>
      </w:r>
      <w:r>
        <w:rPr>
          <w:rFonts w:hint="eastAsia" w:ascii="仿宋" w:hAnsi="仿宋" w:eastAsia="仿宋" w:cs="仿宋"/>
          <w:color w:val="auto"/>
          <w:sz w:val="32"/>
          <w:szCs w:val="32"/>
          <w:highlight w:val="none"/>
          <w:lang w:val="en-US" w:eastAsia="zh-CN"/>
        </w:rPr>
        <w:t>减少</w:t>
      </w:r>
      <w:r>
        <w:rPr>
          <w:rFonts w:hint="eastAsia" w:ascii="仿宋" w:hAnsi="仿宋" w:eastAsia="仿宋" w:cs="仿宋"/>
          <w:color w:val="auto"/>
          <w:kern w:val="2"/>
          <w:sz w:val="32"/>
          <w:szCs w:val="32"/>
          <w:highlight w:val="none"/>
          <w:lang w:val="en-US" w:eastAsia="zh-CN" w:bidi="ar-SA"/>
        </w:rPr>
        <w:t>45.73</w:t>
      </w:r>
      <w:r>
        <w:rPr>
          <w:rFonts w:hint="eastAsia" w:ascii="仿宋" w:hAnsi="仿宋" w:eastAsia="仿宋" w:cs="仿宋"/>
          <w:color w:val="auto"/>
          <w:sz w:val="32"/>
          <w:szCs w:val="32"/>
          <w:highlight w:val="none"/>
        </w:rPr>
        <w:t>万元，主要为人员经费</w:t>
      </w:r>
      <w:r>
        <w:rPr>
          <w:rFonts w:hint="eastAsia" w:ascii="仿宋" w:hAnsi="仿宋" w:eastAsia="仿宋" w:cs="仿宋"/>
          <w:color w:val="auto"/>
          <w:sz w:val="32"/>
          <w:szCs w:val="32"/>
          <w:highlight w:val="none"/>
          <w:lang w:val="en-US" w:eastAsia="zh-CN"/>
        </w:rPr>
        <w:t>减少</w:t>
      </w:r>
      <w:r>
        <w:rPr>
          <w:rFonts w:hint="eastAsia" w:ascii="仿宋" w:hAnsi="仿宋" w:eastAsia="仿宋" w:cs="仿宋"/>
          <w:color w:val="auto"/>
          <w:sz w:val="32"/>
          <w:szCs w:val="32"/>
          <w:highlight w:val="none"/>
        </w:rPr>
        <w:t>；</w:t>
      </w:r>
      <w:r>
        <w:rPr>
          <w:rFonts w:hint="eastAsia" w:ascii="仿宋" w:hAnsi="仿宋" w:eastAsia="仿宋" w:cs="仿宋"/>
          <w:color w:val="auto"/>
          <w:sz w:val="32"/>
          <w:szCs w:val="32"/>
          <w:highlight w:val="none"/>
          <w:lang w:val="en-US" w:eastAsia="zh-CN"/>
        </w:rPr>
        <w:t>但</w:t>
      </w:r>
      <w:r>
        <w:rPr>
          <w:rFonts w:hint="eastAsia" w:ascii="仿宋" w:hAnsi="仿宋" w:eastAsia="仿宋" w:cs="仿宋"/>
          <w:color w:val="auto"/>
          <w:sz w:val="32"/>
          <w:szCs w:val="32"/>
          <w:highlight w:val="none"/>
        </w:rPr>
        <w:t>项目支出</w:t>
      </w:r>
      <w:r>
        <w:rPr>
          <w:rFonts w:hint="eastAsia" w:ascii="仿宋" w:hAnsi="仿宋" w:eastAsia="仿宋" w:cs="仿宋"/>
          <w:color w:val="auto"/>
          <w:sz w:val="32"/>
          <w:szCs w:val="32"/>
          <w:highlight w:val="none"/>
          <w:lang w:val="en-US" w:eastAsia="zh-CN"/>
        </w:rPr>
        <w:t>增加79.45</w:t>
      </w:r>
      <w:r>
        <w:rPr>
          <w:rFonts w:hint="eastAsia" w:ascii="仿宋" w:hAnsi="仿宋" w:eastAsia="仿宋" w:cs="仿宋"/>
          <w:color w:val="auto"/>
          <w:sz w:val="32"/>
          <w:szCs w:val="32"/>
          <w:highlight w:val="none"/>
        </w:rPr>
        <w:t>万元，主要</w:t>
      </w:r>
      <w:r>
        <w:rPr>
          <w:rFonts w:hint="eastAsia" w:ascii="仿宋" w:hAnsi="仿宋" w:eastAsia="仿宋" w:cs="仿宋"/>
          <w:color w:val="auto"/>
          <w:sz w:val="32"/>
          <w:szCs w:val="32"/>
          <w:highlight w:val="none"/>
          <w:lang w:val="en-US" w:eastAsia="zh-CN"/>
        </w:rPr>
        <w:t>增加项目</w:t>
      </w:r>
      <w:r>
        <w:rPr>
          <w:rFonts w:hint="eastAsia" w:ascii="仿宋" w:hAnsi="仿宋" w:eastAsia="仿宋" w:cs="仿宋"/>
          <w:color w:val="auto"/>
          <w:sz w:val="32"/>
          <w:szCs w:val="32"/>
          <w:highlight w:val="none"/>
        </w:rPr>
        <w:t>专项支出</w:t>
      </w:r>
      <w:r>
        <w:rPr>
          <w:rFonts w:hint="eastAsia" w:ascii="仿宋" w:hAnsi="仿宋" w:eastAsia="仿宋" w:cs="仿宋"/>
          <w:color w:val="auto"/>
          <w:sz w:val="32"/>
          <w:szCs w:val="32"/>
          <w:highlight w:val="none"/>
          <w:lang w:eastAsia="zh-CN"/>
        </w:rPr>
        <w:t>。</w:t>
      </w:r>
    </w:p>
    <w:p w14:paraId="23108B9C">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277386C4">
      <w:pPr>
        <w:keepNext w:val="0"/>
        <w:keepLines w:val="0"/>
        <w:pageBreakBefore w:val="0"/>
        <w:widowControl w:val="0"/>
        <w:kinsoku/>
        <w:wordWrap/>
        <w:overflowPunct/>
        <w:topLinePunct w:val="0"/>
        <w:autoSpaceDE/>
        <w:autoSpaceDN/>
        <w:bidi w:val="0"/>
        <w:adjustRightInd/>
        <w:snapToGrid/>
        <w:spacing w:line="560" w:lineRule="exact"/>
        <w:ind w:firstLine="63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lang w:val="en-US" w:eastAsia="zh-CN"/>
        </w:rPr>
        <w:t>1.</w:t>
      </w:r>
      <w:r>
        <w:rPr>
          <w:rFonts w:hint="eastAsia" w:ascii="仿宋" w:hAnsi="仿宋" w:eastAsia="仿宋" w:cs="仿宋"/>
          <w:b/>
          <w:bCs/>
          <w:sz w:val="32"/>
          <w:szCs w:val="32"/>
        </w:rPr>
        <w:t>思想理论建设</w:t>
      </w:r>
    </w:p>
    <w:p w14:paraId="310654C1">
      <w:pPr>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 w:hAnsi="仿宋" w:eastAsia="仿宋" w:cs="仿宋"/>
          <w:sz w:val="32"/>
          <w:szCs w:val="32"/>
          <w:lang w:eastAsia="zh-CN"/>
        </w:rPr>
      </w:pPr>
      <w:r>
        <w:rPr>
          <w:rFonts w:hint="eastAsia" w:ascii="仿宋" w:hAnsi="仿宋" w:eastAsia="仿宋" w:cs="仿宋"/>
          <w:b/>
          <w:bCs/>
          <w:sz w:val="32"/>
          <w:szCs w:val="32"/>
        </w:rPr>
        <w:t>绩效目标</w:t>
      </w:r>
      <w:r>
        <w:rPr>
          <w:rFonts w:hint="eastAsia" w:ascii="仿宋" w:hAnsi="仿宋" w:eastAsia="仿宋" w:cs="仿宋"/>
          <w:sz w:val="32"/>
          <w:szCs w:val="32"/>
        </w:rPr>
        <w:t>：提升理论研究水平，为全区经济社会发展提供理论支持；提高干部群众运用科学理论解决实际问题能力；增强广大干部群众道路自信、理论自信、制度自信</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文化自信</w:t>
      </w:r>
      <w:r>
        <w:rPr>
          <w:rFonts w:hint="eastAsia" w:ascii="仿宋" w:hAnsi="仿宋" w:eastAsia="仿宋" w:cs="仿宋"/>
          <w:sz w:val="32"/>
          <w:szCs w:val="32"/>
        </w:rPr>
        <w:t>，不断巩固全</w:t>
      </w:r>
      <w:r>
        <w:rPr>
          <w:rFonts w:hint="eastAsia" w:ascii="仿宋" w:hAnsi="仿宋" w:eastAsia="仿宋" w:cs="仿宋"/>
          <w:sz w:val="32"/>
          <w:szCs w:val="32"/>
          <w:lang w:val="en-US" w:eastAsia="zh-CN"/>
        </w:rPr>
        <w:t>区</w:t>
      </w:r>
      <w:r>
        <w:rPr>
          <w:rFonts w:hint="eastAsia" w:ascii="仿宋" w:hAnsi="仿宋" w:eastAsia="仿宋" w:cs="仿宋"/>
          <w:sz w:val="32"/>
          <w:szCs w:val="32"/>
        </w:rPr>
        <w:t>人民团结奋斗的共同思想基础</w:t>
      </w:r>
      <w:r>
        <w:rPr>
          <w:rFonts w:hint="eastAsia" w:ascii="仿宋" w:hAnsi="仿宋" w:eastAsia="仿宋" w:cs="仿宋"/>
          <w:sz w:val="32"/>
          <w:szCs w:val="32"/>
          <w:lang w:eastAsia="zh-CN"/>
        </w:rPr>
        <w:t>。</w:t>
      </w:r>
    </w:p>
    <w:p w14:paraId="4429EBD0">
      <w:pPr>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 w:hAnsi="仿宋" w:eastAsia="仿宋" w:cs="仿宋"/>
          <w:sz w:val="32"/>
          <w:szCs w:val="32"/>
          <w:lang w:eastAsia="zh-CN"/>
        </w:rPr>
      </w:pPr>
      <w:r>
        <w:rPr>
          <w:rFonts w:hint="eastAsia" w:ascii="仿宋" w:hAnsi="仿宋" w:eastAsia="仿宋" w:cs="仿宋"/>
          <w:b/>
          <w:bCs/>
          <w:sz w:val="32"/>
          <w:szCs w:val="32"/>
          <w:lang w:eastAsia="zh-CN"/>
        </w:rPr>
        <w:t>绩效指标：</w:t>
      </w:r>
      <w:r>
        <w:rPr>
          <w:rFonts w:hint="eastAsia" w:ascii="仿宋" w:hAnsi="仿宋" w:eastAsia="仿宋" w:cs="仿宋"/>
          <w:sz w:val="32"/>
          <w:szCs w:val="32"/>
        </w:rPr>
        <w:t>在新闻媒体开办理论宣传数量</w:t>
      </w:r>
      <w:r>
        <w:rPr>
          <w:rFonts w:hint="eastAsia" w:ascii="仿宋" w:hAnsi="仿宋" w:eastAsia="仿宋" w:cs="仿宋"/>
          <w:sz w:val="32"/>
          <w:szCs w:val="32"/>
          <w:lang w:eastAsia="zh-CN"/>
        </w:rPr>
        <w:t>、</w:t>
      </w:r>
      <w:r>
        <w:rPr>
          <w:rFonts w:hint="eastAsia" w:ascii="仿宋" w:hAnsi="仿宋" w:eastAsia="仿宋" w:cs="仿宋"/>
          <w:sz w:val="32"/>
          <w:szCs w:val="32"/>
        </w:rPr>
        <w:t>组织中心组学习次数</w:t>
      </w:r>
      <w:r>
        <w:rPr>
          <w:rFonts w:hint="eastAsia" w:ascii="仿宋" w:hAnsi="仿宋" w:eastAsia="仿宋" w:cs="仿宋"/>
          <w:sz w:val="32"/>
          <w:szCs w:val="32"/>
          <w:lang w:eastAsia="zh-CN"/>
        </w:rPr>
        <w:t>、</w:t>
      </w:r>
      <w:r>
        <w:rPr>
          <w:rFonts w:hint="eastAsia" w:ascii="仿宋" w:hAnsi="仿宋" w:eastAsia="仿宋" w:cs="仿宋"/>
          <w:sz w:val="32"/>
          <w:szCs w:val="32"/>
        </w:rPr>
        <w:t>社会主义核心价值观内容普及率</w:t>
      </w:r>
      <w:r>
        <w:rPr>
          <w:rFonts w:hint="eastAsia" w:ascii="仿宋" w:hAnsi="仿宋" w:eastAsia="仿宋" w:cs="仿宋"/>
          <w:sz w:val="32"/>
          <w:szCs w:val="32"/>
          <w:lang w:eastAsia="zh-CN"/>
        </w:rPr>
        <w:t>、</w:t>
      </w:r>
      <w:r>
        <w:rPr>
          <w:rFonts w:hint="eastAsia" w:ascii="仿宋" w:hAnsi="仿宋" w:eastAsia="仿宋" w:cs="仿宋"/>
          <w:sz w:val="32"/>
          <w:szCs w:val="32"/>
        </w:rPr>
        <w:t>组织开展主题宣传教育</w:t>
      </w:r>
      <w:r>
        <w:rPr>
          <w:rFonts w:hint="eastAsia" w:ascii="仿宋" w:hAnsi="仿宋" w:eastAsia="仿宋" w:cs="仿宋"/>
          <w:sz w:val="32"/>
          <w:szCs w:val="32"/>
          <w:lang w:eastAsia="zh-CN"/>
        </w:rPr>
        <w:t>活动次数。</w:t>
      </w:r>
    </w:p>
    <w:p w14:paraId="6D2C49D3">
      <w:pPr>
        <w:keepNext w:val="0"/>
        <w:keepLines w:val="0"/>
        <w:pageBreakBefore w:val="0"/>
        <w:widowControl w:val="0"/>
        <w:kinsoku/>
        <w:wordWrap/>
        <w:overflowPunct/>
        <w:topLinePunct w:val="0"/>
        <w:autoSpaceDE/>
        <w:autoSpaceDN/>
        <w:bidi w:val="0"/>
        <w:adjustRightInd/>
        <w:snapToGrid/>
        <w:spacing w:line="560" w:lineRule="exact"/>
        <w:ind w:firstLine="63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lang w:val="en-US" w:eastAsia="zh-CN"/>
        </w:rPr>
        <w:t>2.</w:t>
      </w:r>
      <w:r>
        <w:rPr>
          <w:rFonts w:hint="eastAsia" w:ascii="仿宋" w:hAnsi="仿宋" w:eastAsia="仿宋" w:cs="仿宋"/>
          <w:b/>
          <w:bCs/>
          <w:sz w:val="32"/>
          <w:szCs w:val="32"/>
        </w:rPr>
        <w:t>对外宣传工作</w:t>
      </w:r>
    </w:p>
    <w:p w14:paraId="2955C657">
      <w:pPr>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 w:hAnsi="仿宋" w:eastAsia="仿宋" w:cs="仿宋"/>
          <w:sz w:val="32"/>
          <w:szCs w:val="32"/>
        </w:rPr>
      </w:pPr>
      <w:r>
        <w:rPr>
          <w:rFonts w:hint="eastAsia" w:ascii="仿宋" w:hAnsi="仿宋" w:eastAsia="仿宋" w:cs="仿宋"/>
          <w:b/>
          <w:bCs/>
          <w:sz w:val="32"/>
          <w:szCs w:val="32"/>
        </w:rPr>
        <w:t>绩效目标：</w:t>
      </w:r>
      <w:r>
        <w:rPr>
          <w:rFonts w:hint="eastAsia" w:ascii="仿宋" w:hAnsi="仿宋" w:eastAsia="仿宋" w:cs="仿宋"/>
          <w:sz w:val="32"/>
          <w:szCs w:val="32"/>
        </w:rPr>
        <w:t>牢牢把握正确导向，为全区经济社会发展提供有力的舆论支持；提升</w:t>
      </w:r>
      <w:r>
        <w:rPr>
          <w:rFonts w:hint="eastAsia" w:ascii="仿宋" w:hAnsi="仿宋" w:eastAsia="仿宋" w:cs="仿宋"/>
          <w:sz w:val="32"/>
          <w:szCs w:val="32"/>
          <w:lang w:val="en-US" w:eastAsia="zh-CN"/>
        </w:rPr>
        <w:t>宣传工作人员</w:t>
      </w:r>
      <w:r>
        <w:rPr>
          <w:rFonts w:hint="eastAsia" w:ascii="仿宋" w:hAnsi="仿宋" w:eastAsia="仿宋" w:cs="仿宋"/>
          <w:sz w:val="32"/>
          <w:szCs w:val="32"/>
        </w:rPr>
        <w:t>的政治意识、责任意识和职业素养。</w:t>
      </w:r>
    </w:p>
    <w:p w14:paraId="4E3DE266">
      <w:pPr>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 w:hAnsi="仿宋" w:eastAsia="仿宋" w:cs="仿宋"/>
          <w:sz w:val="32"/>
          <w:szCs w:val="32"/>
        </w:rPr>
      </w:pPr>
      <w:r>
        <w:rPr>
          <w:rFonts w:hint="eastAsia" w:ascii="仿宋" w:hAnsi="仿宋" w:eastAsia="仿宋" w:cs="仿宋"/>
          <w:b/>
          <w:bCs/>
          <w:sz w:val="32"/>
          <w:szCs w:val="32"/>
          <w:lang w:eastAsia="zh-CN"/>
        </w:rPr>
        <w:t>绩效指标：</w:t>
      </w:r>
      <w:r>
        <w:rPr>
          <w:rFonts w:hint="eastAsia" w:ascii="仿宋" w:hAnsi="仿宋" w:eastAsia="仿宋" w:cs="仿宋"/>
          <w:sz w:val="32"/>
          <w:szCs w:val="32"/>
        </w:rPr>
        <w:t>组织省市媒体采访宣传次数</w:t>
      </w:r>
      <w:r>
        <w:rPr>
          <w:rFonts w:hint="eastAsia" w:ascii="仿宋" w:hAnsi="仿宋" w:eastAsia="仿宋" w:cs="仿宋"/>
          <w:sz w:val="32"/>
          <w:szCs w:val="32"/>
          <w:lang w:eastAsia="zh-CN"/>
        </w:rPr>
        <w:t>、</w:t>
      </w:r>
      <w:r>
        <w:rPr>
          <w:rFonts w:hint="eastAsia" w:ascii="仿宋" w:hAnsi="仿宋" w:eastAsia="仿宋" w:cs="仿宋"/>
          <w:sz w:val="32"/>
          <w:szCs w:val="32"/>
        </w:rPr>
        <w:t>在市级以上媒体播发宣传本区稿件篇数</w:t>
      </w:r>
      <w:r>
        <w:rPr>
          <w:rFonts w:hint="eastAsia" w:ascii="仿宋" w:hAnsi="仿宋" w:eastAsia="仿宋" w:cs="仿宋"/>
          <w:sz w:val="32"/>
          <w:szCs w:val="32"/>
          <w:lang w:eastAsia="zh-CN"/>
        </w:rPr>
        <w:t>、</w:t>
      </w:r>
      <w:r>
        <w:rPr>
          <w:rFonts w:hint="eastAsia" w:ascii="仿宋" w:hAnsi="仿宋" w:eastAsia="仿宋" w:cs="仿宋"/>
          <w:sz w:val="32"/>
          <w:szCs w:val="32"/>
        </w:rPr>
        <w:t>突发事件新闻处置完成率</w:t>
      </w:r>
      <w:r>
        <w:rPr>
          <w:rFonts w:hint="eastAsia" w:ascii="仿宋" w:hAnsi="仿宋" w:eastAsia="仿宋" w:cs="仿宋"/>
          <w:sz w:val="32"/>
          <w:szCs w:val="32"/>
          <w:lang w:eastAsia="zh-CN"/>
        </w:rPr>
        <w:t>。</w:t>
      </w:r>
    </w:p>
    <w:p w14:paraId="25DEAEB6">
      <w:pPr>
        <w:keepNext w:val="0"/>
        <w:keepLines w:val="0"/>
        <w:pageBreakBefore w:val="0"/>
        <w:widowControl w:val="0"/>
        <w:kinsoku/>
        <w:wordWrap/>
        <w:overflowPunct/>
        <w:topLinePunct w:val="0"/>
        <w:autoSpaceDE/>
        <w:autoSpaceDN/>
        <w:bidi w:val="0"/>
        <w:adjustRightInd/>
        <w:snapToGrid/>
        <w:spacing w:line="560" w:lineRule="exact"/>
        <w:ind w:firstLine="63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lang w:val="en-US" w:eastAsia="zh-CN"/>
        </w:rPr>
        <w:t>3.</w:t>
      </w:r>
      <w:r>
        <w:rPr>
          <w:rFonts w:hint="eastAsia" w:ascii="仿宋" w:hAnsi="仿宋" w:eastAsia="仿宋" w:cs="仿宋"/>
          <w:b/>
          <w:bCs/>
          <w:sz w:val="32"/>
          <w:szCs w:val="32"/>
        </w:rPr>
        <w:t>精神文明建设</w:t>
      </w:r>
    </w:p>
    <w:p w14:paraId="029DEDE6">
      <w:pPr>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 w:hAnsi="仿宋" w:eastAsia="仿宋" w:cs="仿宋"/>
          <w:sz w:val="32"/>
          <w:szCs w:val="32"/>
        </w:rPr>
      </w:pPr>
      <w:r>
        <w:rPr>
          <w:rFonts w:hint="eastAsia" w:ascii="仿宋" w:hAnsi="仿宋" w:eastAsia="仿宋" w:cs="仿宋"/>
          <w:b/>
          <w:bCs/>
          <w:sz w:val="32"/>
          <w:szCs w:val="32"/>
        </w:rPr>
        <w:t>绩效目标：</w:t>
      </w:r>
      <w:r>
        <w:rPr>
          <w:rFonts w:hint="eastAsia" w:ascii="仿宋" w:hAnsi="仿宋" w:eastAsia="仿宋" w:cs="仿宋"/>
          <w:sz w:val="32"/>
          <w:szCs w:val="32"/>
        </w:rPr>
        <w:t>全区</w:t>
      </w:r>
      <w:r>
        <w:rPr>
          <w:rFonts w:hint="eastAsia" w:ascii="仿宋" w:hAnsi="仿宋" w:eastAsia="仿宋" w:cs="仿宋"/>
          <w:sz w:val="32"/>
          <w:szCs w:val="32"/>
          <w:lang w:val="en-US" w:eastAsia="zh-CN"/>
        </w:rPr>
        <w:t>文</w:t>
      </w:r>
      <w:r>
        <w:rPr>
          <w:rFonts w:hint="eastAsia" w:ascii="仿宋" w:hAnsi="仿宋" w:eastAsia="仿宋" w:cs="仿宋"/>
          <w:sz w:val="32"/>
          <w:szCs w:val="32"/>
        </w:rPr>
        <w:t>明程度、市民文明素质显著提升，和谐向善的社会风气逐步形成。</w:t>
      </w:r>
    </w:p>
    <w:p w14:paraId="7A5AF621">
      <w:pPr>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 w:hAnsi="仿宋" w:eastAsia="仿宋" w:cs="仿宋"/>
          <w:sz w:val="32"/>
          <w:szCs w:val="32"/>
          <w:lang w:eastAsia="zh-CN"/>
        </w:rPr>
      </w:pPr>
      <w:r>
        <w:rPr>
          <w:rFonts w:hint="eastAsia" w:ascii="仿宋" w:hAnsi="仿宋" w:eastAsia="仿宋" w:cs="仿宋"/>
          <w:b/>
          <w:bCs/>
          <w:sz w:val="32"/>
          <w:szCs w:val="32"/>
          <w:lang w:eastAsia="zh-CN"/>
        </w:rPr>
        <w:t>绩效指标：</w:t>
      </w:r>
      <w:r>
        <w:rPr>
          <w:rFonts w:hint="eastAsia" w:ascii="仿宋" w:hAnsi="仿宋" w:eastAsia="仿宋" w:cs="仿宋"/>
          <w:sz w:val="32"/>
          <w:szCs w:val="32"/>
        </w:rPr>
        <w:t>组织开展精神文明创建活动次数</w:t>
      </w:r>
      <w:r>
        <w:rPr>
          <w:rFonts w:hint="eastAsia" w:ascii="仿宋" w:hAnsi="仿宋" w:eastAsia="仿宋" w:cs="仿宋"/>
          <w:sz w:val="32"/>
          <w:szCs w:val="32"/>
          <w:lang w:eastAsia="zh-CN"/>
        </w:rPr>
        <w:t>、组织开展</w:t>
      </w:r>
      <w:r>
        <w:rPr>
          <w:rFonts w:hint="eastAsia" w:ascii="仿宋" w:hAnsi="仿宋" w:eastAsia="仿宋" w:cs="仿宋"/>
          <w:sz w:val="32"/>
          <w:szCs w:val="32"/>
          <w:lang w:val="en-US" w:eastAsia="zh-CN"/>
        </w:rPr>
        <w:t>文明实践</w:t>
      </w:r>
      <w:r>
        <w:rPr>
          <w:rFonts w:hint="eastAsia" w:ascii="仿宋" w:hAnsi="仿宋" w:eastAsia="仿宋" w:cs="仿宋"/>
          <w:sz w:val="32"/>
          <w:szCs w:val="32"/>
          <w:lang w:eastAsia="zh-CN"/>
        </w:rPr>
        <w:t>活动次数。</w:t>
      </w:r>
    </w:p>
    <w:p w14:paraId="39AC980E">
      <w:pPr>
        <w:keepNext w:val="0"/>
        <w:keepLines w:val="0"/>
        <w:pageBreakBefore w:val="0"/>
        <w:widowControl w:val="0"/>
        <w:kinsoku/>
        <w:wordWrap/>
        <w:overflowPunct/>
        <w:topLinePunct w:val="0"/>
        <w:autoSpaceDE/>
        <w:autoSpaceDN/>
        <w:bidi w:val="0"/>
        <w:adjustRightInd/>
        <w:snapToGrid/>
        <w:spacing w:line="560" w:lineRule="exact"/>
        <w:ind w:firstLine="63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lang w:val="en-US" w:eastAsia="zh-CN"/>
        </w:rPr>
        <w:t>4.</w:t>
      </w:r>
      <w:r>
        <w:rPr>
          <w:rFonts w:hint="eastAsia" w:ascii="仿宋" w:hAnsi="仿宋" w:eastAsia="仿宋" w:cs="仿宋"/>
          <w:b/>
          <w:bCs/>
          <w:sz w:val="32"/>
          <w:szCs w:val="32"/>
        </w:rPr>
        <w:t>文化事业</w:t>
      </w:r>
      <w:r>
        <w:rPr>
          <w:rFonts w:hint="eastAsia" w:ascii="仿宋" w:hAnsi="仿宋" w:eastAsia="仿宋" w:cs="仿宋"/>
          <w:b/>
          <w:bCs/>
          <w:sz w:val="32"/>
          <w:szCs w:val="32"/>
          <w:lang w:eastAsia="zh-CN"/>
        </w:rPr>
        <w:t>、产业</w:t>
      </w:r>
      <w:r>
        <w:rPr>
          <w:rFonts w:hint="eastAsia" w:ascii="仿宋" w:hAnsi="仿宋" w:eastAsia="仿宋" w:cs="仿宋"/>
          <w:b/>
          <w:bCs/>
          <w:sz w:val="32"/>
          <w:szCs w:val="32"/>
        </w:rPr>
        <w:t>发展</w:t>
      </w:r>
    </w:p>
    <w:p w14:paraId="6CDB4DD1">
      <w:pPr>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 w:hAnsi="仿宋" w:eastAsia="仿宋" w:cs="仿宋"/>
          <w:sz w:val="32"/>
          <w:szCs w:val="32"/>
        </w:rPr>
      </w:pPr>
      <w:r>
        <w:rPr>
          <w:rFonts w:hint="eastAsia" w:ascii="仿宋" w:hAnsi="仿宋" w:eastAsia="仿宋" w:cs="仿宋"/>
          <w:b/>
          <w:bCs/>
          <w:sz w:val="32"/>
          <w:szCs w:val="32"/>
        </w:rPr>
        <w:t>绩效目标：</w:t>
      </w:r>
      <w:r>
        <w:rPr>
          <w:rFonts w:hint="eastAsia" w:ascii="仿宋" w:hAnsi="仿宋" w:eastAsia="仿宋" w:cs="仿宋"/>
          <w:sz w:val="32"/>
          <w:szCs w:val="32"/>
        </w:rPr>
        <w:t>进一步调动全区文艺工作者参与精品创作的积极性，创作一批文艺精品，提高精品创作水平和生产能力；不断完善公共文化服务体系，打造群众文化活动品牌，丰富群众文化生活，提升城市文化品位</w:t>
      </w:r>
      <w:r>
        <w:rPr>
          <w:rFonts w:hint="eastAsia" w:ascii="仿宋" w:hAnsi="仿宋" w:eastAsia="仿宋" w:cs="仿宋"/>
          <w:sz w:val="32"/>
          <w:szCs w:val="32"/>
          <w:lang w:eastAsia="zh-CN"/>
        </w:rPr>
        <w:t>；</w:t>
      </w:r>
      <w:r>
        <w:rPr>
          <w:rFonts w:hint="eastAsia" w:ascii="仿宋" w:hAnsi="仿宋" w:eastAsia="仿宋" w:cs="仿宋"/>
          <w:sz w:val="32"/>
          <w:szCs w:val="32"/>
        </w:rPr>
        <w:t>推动文化产业快速发展，促进全</w:t>
      </w:r>
      <w:r>
        <w:rPr>
          <w:rFonts w:hint="eastAsia" w:ascii="仿宋" w:hAnsi="仿宋" w:eastAsia="仿宋" w:cs="仿宋"/>
          <w:sz w:val="32"/>
          <w:szCs w:val="32"/>
          <w:lang w:val="en-US" w:eastAsia="zh-CN"/>
        </w:rPr>
        <w:t>区</w:t>
      </w:r>
      <w:r>
        <w:rPr>
          <w:rFonts w:hint="eastAsia" w:ascii="仿宋" w:hAnsi="仿宋" w:eastAsia="仿宋" w:cs="仿宋"/>
          <w:sz w:val="32"/>
          <w:szCs w:val="32"/>
        </w:rPr>
        <w:t>文化产业增加值增长，满足</w:t>
      </w:r>
      <w:r>
        <w:rPr>
          <w:rFonts w:hint="eastAsia" w:ascii="仿宋" w:hAnsi="仿宋" w:eastAsia="仿宋" w:cs="仿宋"/>
          <w:sz w:val="32"/>
          <w:szCs w:val="32"/>
          <w:lang w:val="en-US" w:eastAsia="zh-CN"/>
        </w:rPr>
        <w:t>居</w:t>
      </w:r>
      <w:r>
        <w:rPr>
          <w:rFonts w:hint="eastAsia" w:ascii="仿宋" w:hAnsi="仿宋" w:eastAsia="仿宋" w:cs="仿宋"/>
          <w:sz w:val="32"/>
          <w:szCs w:val="32"/>
        </w:rPr>
        <w:t>民精神文化需求。</w:t>
      </w:r>
    </w:p>
    <w:p w14:paraId="23DB80D8">
      <w:pPr>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 w:hAnsi="仿宋" w:eastAsia="仿宋" w:cs="仿宋"/>
          <w:sz w:val="32"/>
          <w:szCs w:val="32"/>
          <w:lang w:eastAsia="zh-CN"/>
        </w:rPr>
      </w:pPr>
      <w:r>
        <w:rPr>
          <w:rFonts w:hint="eastAsia" w:ascii="仿宋" w:hAnsi="仿宋" w:eastAsia="仿宋" w:cs="仿宋"/>
          <w:b/>
          <w:bCs/>
          <w:sz w:val="32"/>
          <w:szCs w:val="32"/>
          <w:lang w:eastAsia="zh-CN"/>
        </w:rPr>
        <w:t>绩效指标：</w:t>
      </w:r>
      <w:r>
        <w:rPr>
          <w:rFonts w:hint="eastAsia" w:ascii="仿宋" w:hAnsi="仿宋" w:eastAsia="仿宋" w:cs="仿宋"/>
          <w:sz w:val="32"/>
          <w:szCs w:val="32"/>
        </w:rPr>
        <w:t>组织系列文化活动数量（次）</w:t>
      </w:r>
      <w:r>
        <w:rPr>
          <w:rFonts w:hint="eastAsia" w:ascii="仿宋" w:hAnsi="仿宋" w:eastAsia="仿宋" w:cs="仿宋"/>
          <w:sz w:val="32"/>
          <w:szCs w:val="32"/>
          <w:lang w:eastAsia="zh-CN"/>
        </w:rPr>
        <w:t>。</w:t>
      </w:r>
    </w:p>
    <w:p w14:paraId="2A743DA0">
      <w:pPr>
        <w:keepNext w:val="0"/>
        <w:keepLines w:val="0"/>
        <w:pageBreakBefore w:val="0"/>
        <w:widowControl w:val="0"/>
        <w:kinsoku/>
        <w:wordWrap/>
        <w:overflowPunct/>
        <w:topLinePunct w:val="0"/>
        <w:autoSpaceDE/>
        <w:autoSpaceDN/>
        <w:bidi w:val="0"/>
        <w:adjustRightInd/>
        <w:snapToGrid/>
        <w:spacing w:line="560" w:lineRule="exact"/>
        <w:ind w:firstLine="63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lang w:val="en-US" w:eastAsia="zh-CN"/>
        </w:rPr>
        <w:t>5.</w:t>
      </w:r>
      <w:r>
        <w:rPr>
          <w:rFonts w:hint="eastAsia" w:ascii="仿宋" w:hAnsi="仿宋" w:eastAsia="仿宋" w:cs="仿宋"/>
          <w:b/>
          <w:bCs/>
          <w:sz w:val="32"/>
          <w:szCs w:val="32"/>
        </w:rPr>
        <w:t>宣传事务管理</w:t>
      </w:r>
    </w:p>
    <w:p w14:paraId="2BBFE6E7">
      <w:pPr>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 w:hAnsi="仿宋" w:eastAsia="仿宋" w:cs="仿宋"/>
          <w:sz w:val="32"/>
          <w:szCs w:val="32"/>
        </w:rPr>
      </w:pPr>
      <w:r>
        <w:rPr>
          <w:rFonts w:hint="eastAsia" w:ascii="仿宋" w:hAnsi="仿宋" w:eastAsia="仿宋" w:cs="仿宋"/>
          <w:b/>
          <w:bCs/>
          <w:sz w:val="32"/>
          <w:szCs w:val="32"/>
        </w:rPr>
        <w:t>绩效目标：</w:t>
      </w:r>
      <w:r>
        <w:rPr>
          <w:rFonts w:hint="eastAsia" w:ascii="仿宋" w:hAnsi="仿宋" w:eastAsia="仿宋" w:cs="仿宋"/>
          <w:sz w:val="32"/>
          <w:szCs w:val="32"/>
        </w:rPr>
        <w:t>确保各项业务工作谋划到位、顺利开展，保障机关工作正常高效运转</w:t>
      </w:r>
      <w:r>
        <w:rPr>
          <w:rFonts w:hint="eastAsia" w:ascii="仿宋" w:hAnsi="仿宋" w:eastAsia="仿宋" w:cs="仿宋"/>
          <w:sz w:val="32"/>
          <w:szCs w:val="32"/>
          <w:lang w:eastAsia="zh-CN"/>
        </w:rPr>
        <w:t>。</w:t>
      </w:r>
      <w:r>
        <w:rPr>
          <w:rFonts w:hint="eastAsia" w:ascii="仿宋" w:hAnsi="仿宋" w:eastAsia="仿宋" w:cs="仿宋"/>
          <w:sz w:val="32"/>
          <w:szCs w:val="32"/>
        </w:rPr>
        <w:t>做好</w:t>
      </w:r>
      <w:r>
        <w:rPr>
          <w:rFonts w:hint="eastAsia" w:ascii="仿宋" w:hAnsi="仿宋" w:eastAsia="仿宋" w:cs="仿宋"/>
          <w:sz w:val="32"/>
          <w:szCs w:val="32"/>
          <w:lang w:val="en-US" w:eastAsia="zh-CN"/>
        </w:rPr>
        <w:t>宣传</w:t>
      </w:r>
      <w:r>
        <w:rPr>
          <w:rFonts w:hint="eastAsia" w:ascii="仿宋" w:hAnsi="仿宋" w:eastAsia="仿宋" w:cs="仿宋"/>
          <w:sz w:val="32"/>
          <w:szCs w:val="32"/>
        </w:rPr>
        <w:t>干部培训管理，抓好</w:t>
      </w:r>
      <w:r>
        <w:rPr>
          <w:rFonts w:hint="eastAsia" w:ascii="仿宋" w:hAnsi="仿宋" w:eastAsia="仿宋" w:cs="仿宋"/>
          <w:sz w:val="32"/>
          <w:szCs w:val="32"/>
          <w:cs/>
        </w:rPr>
        <w:t>“</w:t>
      </w:r>
      <w:r>
        <w:rPr>
          <w:rFonts w:hint="eastAsia" w:ascii="仿宋" w:hAnsi="仿宋" w:eastAsia="仿宋" w:cs="仿宋"/>
          <w:sz w:val="32"/>
          <w:szCs w:val="32"/>
        </w:rPr>
        <w:t>四个一批</w:t>
      </w:r>
      <w:r>
        <w:rPr>
          <w:rFonts w:hint="eastAsia" w:ascii="仿宋" w:hAnsi="仿宋" w:eastAsia="仿宋" w:cs="仿宋"/>
          <w:sz w:val="32"/>
          <w:szCs w:val="32"/>
          <w:cs/>
        </w:rPr>
        <w:t>”</w:t>
      </w:r>
      <w:r>
        <w:rPr>
          <w:rFonts w:hint="eastAsia" w:ascii="仿宋" w:hAnsi="仿宋" w:eastAsia="仿宋" w:cs="仿宋"/>
          <w:sz w:val="32"/>
          <w:szCs w:val="32"/>
        </w:rPr>
        <w:t>人才管理培养。</w:t>
      </w:r>
    </w:p>
    <w:p w14:paraId="2711D728">
      <w:pPr>
        <w:keepNext w:val="0"/>
        <w:keepLines w:val="0"/>
        <w:pageBreakBefore w:val="0"/>
        <w:widowControl w:val="0"/>
        <w:kinsoku/>
        <w:wordWrap/>
        <w:overflowPunct/>
        <w:topLinePunct w:val="0"/>
        <w:autoSpaceDE/>
        <w:autoSpaceDN/>
        <w:bidi w:val="0"/>
        <w:adjustRightInd/>
        <w:snapToGrid/>
        <w:spacing w:line="560" w:lineRule="exact"/>
        <w:ind w:firstLine="640"/>
        <w:textAlignment w:val="auto"/>
        <w:outlineLvl w:val="9"/>
        <w:rPr>
          <w:rFonts w:hint="eastAsia" w:ascii="仿宋" w:hAnsi="仿宋" w:eastAsia="仿宋" w:cs="仿宋"/>
          <w:sz w:val="32"/>
          <w:szCs w:val="32"/>
        </w:rPr>
      </w:pPr>
      <w:r>
        <w:rPr>
          <w:rFonts w:hint="eastAsia" w:ascii="仿宋" w:hAnsi="仿宋" w:eastAsia="仿宋" w:cs="仿宋"/>
          <w:b/>
          <w:bCs/>
          <w:sz w:val="32"/>
          <w:szCs w:val="32"/>
          <w:lang w:eastAsia="zh-CN"/>
        </w:rPr>
        <w:t>绩效指标：</w:t>
      </w:r>
      <w:r>
        <w:rPr>
          <w:rFonts w:hint="eastAsia" w:ascii="仿宋" w:hAnsi="仿宋" w:eastAsia="仿宋" w:cs="仿宋"/>
          <w:sz w:val="32"/>
          <w:szCs w:val="32"/>
        </w:rPr>
        <w:t>规划制度完成率</w:t>
      </w:r>
      <w:r>
        <w:rPr>
          <w:rFonts w:hint="eastAsia" w:ascii="仿宋" w:hAnsi="仿宋" w:eastAsia="仿宋" w:cs="仿宋"/>
          <w:sz w:val="32"/>
          <w:szCs w:val="32"/>
          <w:lang w:eastAsia="zh-CN"/>
        </w:rPr>
        <w:t>、</w:t>
      </w:r>
      <w:r>
        <w:rPr>
          <w:rFonts w:hint="eastAsia" w:ascii="仿宋" w:hAnsi="仿宋" w:eastAsia="仿宋" w:cs="仿宋"/>
          <w:sz w:val="32"/>
          <w:szCs w:val="32"/>
        </w:rPr>
        <w:t>重点工作督察督办率</w:t>
      </w:r>
      <w:r>
        <w:rPr>
          <w:rFonts w:hint="eastAsia" w:ascii="仿宋" w:hAnsi="仿宋" w:eastAsia="仿宋" w:cs="仿宋"/>
          <w:sz w:val="32"/>
          <w:szCs w:val="32"/>
          <w:lang w:eastAsia="zh-CN"/>
        </w:rPr>
        <w:t>、</w:t>
      </w:r>
      <w:r>
        <w:rPr>
          <w:rFonts w:hint="eastAsia" w:ascii="仿宋" w:hAnsi="仿宋" w:eastAsia="仿宋" w:cs="仿宋"/>
          <w:sz w:val="32"/>
          <w:szCs w:val="32"/>
        </w:rPr>
        <w:t>综合事务工作完成率</w:t>
      </w:r>
      <w:r>
        <w:rPr>
          <w:rFonts w:hint="eastAsia" w:ascii="仿宋" w:hAnsi="仿宋" w:eastAsia="仿宋" w:cs="仿宋"/>
          <w:sz w:val="32"/>
          <w:szCs w:val="32"/>
          <w:lang w:eastAsia="zh-CN"/>
        </w:rPr>
        <w:t>。</w:t>
      </w:r>
    </w:p>
    <w:p w14:paraId="082C2D8E">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77B4F4E6">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3531EAB8">
      <w:pPr>
        <w:numPr>
          <w:ilvl w:val="0"/>
          <w:numId w:val="0"/>
        </w:num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资料收集</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评价小组收集了相关规章、制度、职责、工作计划等各种资料。</w:t>
      </w:r>
    </w:p>
    <w:p w14:paraId="13D9352E">
      <w:pPr>
        <w:numPr>
          <w:ilvl w:val="0"/>
          <w:numId w:val="0"/>
        </w:num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评价过程</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高度重视、加强组织领导，把绩效考核工作作为当前的一项重点工作来研究和部署。</w:t>
      </w:r>
    </w:p>
    <w:p w14:paraId="2AB73837">
      <w:pPr>
        <w:spacing w:line="560" w:lineRule="exact"/>
        <w:ind w:firstLine="640" w:firstLineChars="200"/>
        <w:rPr>
          <w:rFonts w:ascii="仿宋" w:hAnsi="仿宋" w:eastAsia="仿宋"/>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评价工作管理组织</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落实责任，强化考核任务落实，细化落实措施，做好工作谋划和考评指标跟踪、监控与问题整改。成立了预算绩效自评工作领导小组，切实加强对绩效工作的组织领导。</w:t>
      </w:r>
    </w:p>
    <w:p w14:paraId="2A6699AE">
      <w:pPr>
        <w:numPr>
          <w:ilvl w:val="0"/>
          <w:numId w:val="3"/>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4F420990">
      <w:pPr>
        <w:spacing w:line="540" w:lineRule="exact"/>
        <w:ind w:firstLine="642"/>
      </w:pPr>
      <w:r>
        <w:rPr>
          <w:rFonts w:hint="eastAsia" w:ascii="仿宋_GB2312" w:hAnsi="仿宋_GB2312" w:eastAsia="仿宋_GB2312" w:cs="仿宋_GB2312"/>
          <w:sz w:val="32"/>
          <w:szCs w:val="32"/>
          <w:lang w:val="en-US" w:eastAsia="zh-CN"/>
        </w:rPr>
        <w:t>我部</w:t>
      </w:r>
      <w:r>
        <w:rPr>
          <w:rFonts w:hint="eastAsia" w:ascii="仿宋_GB2312" w:hAnsi="仿宋_GB2312" w:eastAsia="仿宋_GB2312" w:cs="仿宋_GB2312"/>
          <w:sz w:val="32"/>
          <w:szCs w:val="32"/>
        </w:rPr>
        <w:t>成立绩效自评小组，制定科学完整的自评方案，收集专项自评相关资料，分析专项使用情况，出具自评价报告。</w:t>
      </w:r>
    </w:p>
    <w:p w14:paraId="1DB3CBC8">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55A01885">
      <w:pPr>
        <w:pStyle w:val="19"/>
        <w:keepNext w:val="0"/>
        <w:keepLines w:val="0"/>
        <w:pageBreakBefore w:val="0"/>
        <w:widowControl w:val="0"/>
        <w:kinsoku/>
        <w:wordWrap/>
        <w:overflowPunct/>
        <w:topLinePunct w:val="0"/>
        <w:autoSpaceDE/>
        <w:autoSpaceDN/>
        <w:bidi w:val="0"/>
        <w:adjustRightInd/>
        <w:snapToGrid/>
        <w:spacing w:line="440" w:lineRule="exact"/>
        <w:ind w:firstLine="620" w:firstLineChars="200"/>
        <w:textAlignment w:val="auto"/>
        <w:rPr>
          <w:rFonts w:ascii="楷体" w:hAnsi="楷体" w:eastAsia="楷体" w:cs="楷体"/>
          <w:b w:val="0"/>
          <w:bCs w:val="0"/>
          <w:color w:val="000000"/>
          <w:sz w:val="31"/>
          <w:szCs w:val="31"/>
        </w:rPr>
      </w:pPr>
      <w:r>
        <w:rPr>
          <w:rFonts w:ascii="楷体" w:hAnsi="楷体" w:eastAsia="楷体" w:cs="楷体"/>
          <w:b w:val="0"/>
          <w:bCs w:val="0"/>
          <w:color w:val="000000"/>
          <w:sz w:val="31"/>
          <w:szCs w:val="31"/>
        </w:rPr>
        <w:t>（一）总体绩效目标实现情况</w:t>
      </w:r>
    </w:p>
    <w:p w14:paraId="1F639B3A">
      <w:pPr>
        <w:spacing w:line="560" w:lineRule="exact"/>
        <w:ind w:firstLine="640" w:firstLineChars="200"/>
        <w:rPr>
          <w:rFonts w:hint="eastAsia" w:ascii="仿宋" w:hAnsi="仿宋" w:eastAsia="仿宋" w:cs="仿宋"/>
          <w:sz w:val="32"/>
          <w:szCs w:val="32"/>
          <w:lang w:val="en-US" w:eastAsia="zh-CN"/>
        </w:rPr>
      </w:pPr>
      <w:r>
        <w:rPr>
          <w:rFonts w:hint="eastAsia" w:ascii="仿宋_GB2312" w:eastAsia="仿宋_GB2312"/>
          <w:color w:val="auto"/>
          <w:sz w:val="32"/>
          <w:szCs w:val="32"/>
          <w:lang w:val="en-US" w:eastAsia="zh-CN"/>
        </w:rPr>
        <w:t>坚持以习近平新时代中国特色社会主义思想为指导，深入学习贯彻党的二十大和二十届历次全会精神，自觉承担起举旗帜、聚民心、育新人、兴文化、展形象的使命任务，紧紧围绕中心、服务大局，守正创新、主动作为，</w:t>
      </w:r>
      <w:r>
        <w:rPr>
          <w:rFonts w:hint="eastAsia" w:ascii="仿宋" w:hAnsi="仿宋" w:eastAsia="仿宋" w:cs="仿宋"/>
          <w:sz w:val="32"/>
          <w:szCs w:val="32"/>
          <w:lang w:val="en-US" w:eastAsia="zh-CN"/>
        </w:rPr>
        <w:t>圆满完成全年各项任务。</w:t>
      </w:r>
    </w:p>
    <w:p w14:paraId="1E313A5E">
      <w:pPr>
        <w:spacing w:line="560" w:lineRule="exact"/>
        <w:ind w:firstLine="640" w:firstLineChars="200"/>
        <w:rPr>
          <w:rFonts w:ascii="楷体" w:hAnsi="楷体" w:eastAsia="楷体"/>
          <w:bCs/>
          <w:sz w:val="32"/>
          <w:szCs w:val="32"/>
        </w:rPr>
      </w:pPr>
      <w:r>
        <w:rPr>
          <w:rFonts w:hint="eastAsia" w:ascii="楷体" w:hAnsi="楷体" w:eastAsia="楷体" w:cs="楷体_GB2312"/>
          <w:bCs/>
          <w:sz w:val="32"/>
          <w:szCs w:val="32"/>
        </w:rPr>
        <w:t>（二）分项绩效目标实现情况及指标分析</w:t>
      </w:r>
    </w:p>
    <w:p w14:paraId="220C63EB">
      <w:pPr>
        <w:keepNext w:val="0"/>
        <w:keepLines w:val="0"/>
        <w:pageBreakBefore w:val="0"/>
        <w:widowControl w:val="0"/>
        <w:kinsoku/>
        <w:wordWrap/>
        <w:overflowPunct/>
        <w:topLinePunct w:val="0"/>
        <w:autoSpaceDE/>
        <w:autoSpaceDN/>
        <w:bidi w:val="0"/>
        <w:adjustRightInd/>
        <w:snapToGrid/>
        <w:spacing w:line="560" w:lineRule="exact"/>
        <w:ind w:firstLine="63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lang w:val="en-US" w:eastAsia="zh-CN"/>
        </w:rPr>
        <w:t>1.</w:t>
      </w:r>
      <w:r>
        <w:rPr>
          <w:rFonts w:hint="eastAsia" w:ascii="仿宋" w:hAnsi="仿宋" w:eastAsia="仿宋" w:cs="仿宋"/>
          <w:b/>
          <w:bCs/>
          <w:sz w:val="32"/>
          <w:szCs w:val="32"/>
        </w:rPr>
        <w:t>思想理论建设</w:t>
      </w:r>
    </w:p>
    <w:p w14:paraId="4C17A8C9">
      <w:pPr>
        <w:keepNext w:val="0"/>
        <w:keepLines w:val="0"/>
        <w:pageBreakBefore w:val="0"/>
        <w:widowControl w:val="0"/>
        <w:kinsoku/>
        <w:wordWrap/>
        <w:overflowPunct/>
        <w:topLinePunct w:val="0"/>
        <w:autoSpaceDE/>
        <w:autoSpaceDN/>
        <w:bidi w:val="0"/>
        <w:adjustRightInd/>
        <w:snapToGrid/>
        <w:spacing w:line="560" w:lineRule="exact"/>
        <w:ind w:firstLine="630"/>
        <w:textAlignment w:val="auto"/>
        <w:outlineLvl w:val="9"/>
        <w:rPr>
          <w:rFonts w:hint="eastAsia" w:ascii="仿宋_GB2312" w:eastAsia="仿宋_GB2312"/>
          <w:color w:val="auto"/>
          <w:sz w:val="32"/>
          <w:szCs w:val="32"/>
        </w:rPr>
      </w:pPr>
      <w:r>
        <w:rPr>
          <w:rFonts w:hint="eastAsia" w:ascii="仿宋_GB2312" w:eastAsia="仿宋_GB2312"/>
          <w:color w:val="auto"/>
          <w:sz w:val="32"/>
          <w:szCs w:val="32"/>
        </w:rPr>
        <w:t>严格</w:t>
      </w:r>
      <w:r>
        <w:rPr>
          <w:rFonts w:hint="eastAsia" w:ascii="仿宋_GB2312" w:eastAsia="仿宋_GB2312"/>
          <w:color w:val="auto"/>
          <w:sz w:val="32"/>
          <w:szCs w:val="32"/>
          <w:lang w:eastAsia="zh-CN"/>
        </w:rPr>
        <w:t>落实理论</w:t>
      </w:r>
      <w:r>
        <w:rPr>
          <w:rFonts w:hint="eastAsia" w:ascii="仿宋_GB2312" w:eastAsia="仿宋_GB2312"/>
          <w:color w:val="auto"/>
          <w:sz w:val="32"/>
          <w:szCs w:val="32"/>
          <w:lang w:val="en-US" w:eastAsia="zh-CN"/>
        </w:rPr>
        <w:t>学习</w:t>
      </w:r>
      <w:r>
        <w:rPr>
          <w:rFonts w:hint="eastAsia" w:ascii="仿宋_GB2312" w:eastAsia="仿宋_GB2312"/>
          <w:color w:val="auto"/>
          <w:sz w:val="32"/>
          <w:szCs w:val="32"/>
        </w:rPr>
        <w:t>中心组</w:t>
      </w:r>
      <w:r>
        <w:rPr>
          <w:rFonts w:hint="eastAsia" w:ascii="仿宋_GB2312" w:eastAsia="仿宋_GB2312"/>
          <w:color w:val="auto"/>
          <w:sz w:val="32"/>
          <w:szCs w:val="32"/>
          <w:lang w:val="en-US" w:eastAsia="zh-CN"/>
        </w:rPr>
        <w:t>理论</w:t>
      </w:r>
      <w:r>
        <w:rPr>
          <w:rFonts w:hint="eastAsia" w:ascii="仿宋_GB2312" w:eastAsia="仿宋_GB2312"/>
          <w:color w:val="auto"/>
          <w:sz w:val="32"/>
          <w:szCs w:val="32"/>
        </w:rPr>
        <w:t>学习</w:t>
      </w:r>
      <w:r>
        <w:rPr>
          <w:rFonts w:hint="eastAsia" w:ascii="仿宋_GB2312" w:eastAsia="仿宋_GB2312"/>
          <w:color w:val="auto"/>
          <w:sz w:val="32"/>
          <w:szCs w:val="32"/>
          <w:lang w:val="en-US" w:eastAsia="zh-CN"/>
        </w:rPr>
        <w:t>的</w:t>
      </w:r>
      <w:r>
        <w:rPr>
          <w:rFonts w:hint="eastAsia" w:ascii="仿宋_GB2312" w:eastAsia="仿宋_GB2312"/>
          <w:color w:val="auto"/>
          <w:sz w:val="32"/>
          <w:szCs w:val="32"/>
        </w:rPr>
        <w:t>各项要求，周密部署、精心组织</w:t>
      </w:r>
      <w:r>
        <w:rPr>
          <w:rFonts w:hint="eastAsia" w:ascii="仿宋_GB2312" w:eastAsia="仿宋_GB2312"/>
          <w:color w:val="auto"/>
          <w:sz w:val="32"/>
          <w:szCs w:val="32"/>
          <w:lang w:eastAsia="zh-CN"/>
        </w:rPr>
        <w:t>，</w:t>
      </w:r>
      <w:r>
        <w:rPr>
          <w:rFonts w:hint="eastAsia" w:ascii="仿宋_GB2312" w:eastAsia="仿宋_GB2312"/>
          <w:color w:val="auto"/>
          <w:sz w:val="32"/>
          <w:szCs w:val="32"/>
          <w:lang w:val="en-US" w:eastAsia="zh-CN"/>
        </w:rPr>
        <w:t>共</w:t>
      </w:r>
      <w:r>
        <w:rPr>
          <w:rFonts w:hint="eastAsia" w:ascii="仿宋_GB2312" w:eastAsia="仿宋_GB2312"/>
          <w:color w:val="auto"/>
          <w:sz w:val="32"/>
          <w:szCs w:val="32"/>
        </w:rPr>
        <w:t>围绕作风建设、经济发展等主</w:t>
      </w:r>
      <w:bookmarkStart w:id="0" w:name="_GoBack"/>
      <w:bookmarkEnd w:id="0"/>
      <w:r>
        <w:rPr>
          <w:rFonts w:hint="eastAsia" w:ascii="仿宋_GB2312" w:eastAsia="仿宋_GB2312"/>
          <w:color w:val="auto"/>
          <w:sz w:val="32"/>
          <w:szCs w:val="32"/>
        </w:rPr>
        <w:t>题组织集中学习</w:t>
      </w:r>
      <w:r>
        <w:rPr>
          <w:rFonts w:hint="eastAsia" w:ascii="仿宋_GB2312" w:eastAsia="仿宋_GB2312"/>
          <w:color w:val="auto"/>
          <w:sz w:val="32"/>
          <w:szCs w:val="32"/>
          <w:lang w:val="en-US" w:eastAsia="zh-CN"/>
        </w:rPr>
        <w:t>10</w:t>
      </w:r>
      <w:r>
        <w:rPr>
          <w:rFonts w:hint="eastAsia" w:ascii="仿宋_GB2312" w:eastAsia="仿宋_GB2312"/>
          <w:color w:val="auto"/>
          <w:sz w:val="32"/>
          <w:szCs w:val="32"/>
        </w:rPr>
        <w:t>次</w:t>
      </w:r>
      <w:r>
        <w:rPr>
          <w:rFonts w:hint="eastAsia" w:ascii="仿宋_GB2312" w:eastAsia="仿宋_GB2312"/>
          <w:color w:val="auto"/>
          <w:sz w:val="32"/>
          <w:szCs w:val="32"/>
          <w:lang w:eastAsia="zh-CN"/>
        </w:rPr>
        <w:t>。</w:t>
      </w:r>
      <w:r>
        <w:rPr>
          <w:rFonts w:hint="eastAsia" w:ascii="仿宋_GB2312" w:hAnsi="仿宋_GB2312" w:eastAsia="仿宋_GB2312" w:cs="仿宋_GB2312"/>
          <w:b w:val="0"/>
          <w:bCs w:val="0"/>
          <w:color w:val="auto"/>
          <w:sz w:val="32"/>
          <w:szCs w:val="32"/>
        </w:rPr>
        <w:t>扎实做好</w:t>
      </w:r>
      <w:r>
        <w:rPr>
          <w:rFonts w:hint="eastAsia" w:ascii="仿宋_GB2312" w:hAnsi="仿宋_GB2312" w:eastAsia="仿宋_GB2312" w:cs="仿宋_GB2312"/>
          <w:b w:val="0"/>
          <w:bCs w:val="0"/>
          <w:color w:val="auto"/>
          <w:sz w:val="32"/>
          <w:szCs w:val="32"/>
          <w:lang w:eastAsia="zh-CN"/>
        </w:rPr>
        <w:t>各级宣讲</w:t>
      </w:r>
      <w:r>
        <w:rPr>
          <w:rFonts w:hint="eastAsia" w:ascii="仿宋_GB2312" w:hAnsi="仿宋_GB2312" w:eastAsia="仿宋_GB2312" w:cs="仿宋_GB2312"/>
          <w:b w:val="0"/>
          <w:bCs w:val="0"/>
          <w:color w:val="auto"/>
          <w:sz w:val="32"/>
          <w:szCs w:val="32"/>
        </w:rPr>
        <w:t>服务</w:t>
      </w:r>
      <w:r>
        <w:rPr>
          <w:rFonts w:hint="eastAsia" w:ascii="仿宋_GB2312" w:hAnsi="仿宋_GB2312" w:eastAsia="仿宋_GB2312" w:cs="仿宋_GB2312"/>
          <w:b w:val="0"/>
          <w:bCs w:val="0"/>
          <w:color w:val="auto"/>
          <w:sz w:val="32"/>
          <w:szCs w:val="32"/>
          <w:lang w:eastAsia="zh-CN"/>
        </w:rPr>
        <w:t>保障，</w:t>
      </w:r>
      <w:r>
        <w:rPr>
          <w:rFonts w:hint="eastAsia" w:ascii="仿宋_GB2312" w:eastAsia="仿宋_GB2312" w:cs="仿宋_GB2312"/>
          <w:b w:val="0"/>
          <w:bCs w:val="0"/>
          <w:color w:val="000000" w:themeColor="text1"/>
          <w:sz w:val="32"/>
          <w:szCs w:val="32"/>
          <w:lang w:val="en-US" w:eastAsia="zh-CN" w:bidi="ar-SA"/>
        </w:rPr>
        <w:t>区委宣讲团、区委“走基层”宣讲团宣讲工作有序进行，</w:t>
      </w:r>
      <w:r>
        <w:rPr>
          <w:rFonts w:hint="eastAsia" w:ascii="仿宋_GB2312" w:eastAsia="仿宋_GB2312" w:cs="仿宋_GB2312"/>
          <w:b w:val="0"/>
          <w:bCs w:val="0"/>
          <w:color w:val="auto"/>
          <w:sz w:val="32"/>
          <w:szCs w:val="32"/>
          <w:lang w:val="en-US" w:eastAsia="zh-CN" w:bidi="ar-SA"/>
        </w:rPr>
        <w:t>累计刊发相关稿件50余篇</w:t>
      </w:r>
      <w:r>
        <w:rPr>
          <w:rFonts w:ascii="仿宋_GB2312" w:eastAsia="仿宋_GB2312" w:cs="仿宋_GB2312"/>
          <w:b w:val="0"/>
          <w:bCs w:val="0"/>
          <w:color w:val="auto"/>
          <w:sz w:val="32"/>
          <w:szCs w:val="32"/>
          <w:lang w:val="en-US" w:eastAsia="zh-CN" w:bidi="ar-SA"/>
        </w:rPr>
        <w:t>，</w:t>
      </w:r>
      <w:r>
        <w:rPr>
          <w:rFonts w:hint="eastAsia" w:ascii="仿宋_GB2312" w:hAnsi="仿宋_GB2312" w:eastAsia="仿宋_GB2312" w:cs="仿宋_GB2312"/>
          <w:b w:val="0"/>
          <w:bCs w:val="0"/>
          <w:color w:val="auto"/>
          <w:sz w:val="32"/>
          <w:szCs w:val="32"/>
          <w:lang w:val="en-US" w:eastAsia="zh-CN"/>
        </w:rPr>
        <w:t>使</w:t>
      </w:r>
      <w:r>
        <w:rPr>
          <w:rFonts w:hint="eastAsia" w:ascii="仿宋_GB2312" w:eastAsia="仿宋_GB2312"/>
          <w:color w:val="auto"/>
          <w:sz w:val="32"/>
          <w:szCs w:val="32"/>
          <w:lang w:eastAsia="zh-CN"/>
        </w:rPr>
        <w:t>党的创新</w:t>
      </w:r>
      <w:r>
        <w:rPr>
          <w:rFonts w:hint="eastAsia" w:ascii="仿宋_GB2312" w:eastAsia="仿宋_GB2312"/>
          <w:color w:val="auto"/>
          <w:sz w:val="32"/>
          <w:szCs w:val="32"/>
        </w:rPr>
        <w:t>理论宣讲</w:t>
      </w:r>
      <w:r>
        <w:rPr>
          <w:rFonts w:hint="eastAsia" w:ascii="仿宋_GB2312" w:eastAsia="仿宋_GB2312"/>
          <w:color w:val="auto"/>
          <w:sz w:val="32"/>
          <w:szCs w:val="32"/>
          <w:lang w:eastAsia="zh-CN"/>
        </w:rPr>
        <w:t>深入人心</w:t>
      </w:r>
      <w:r>
        <w:rPr>
          <w:rFonts w:hint="eastAsia" w:ascii="仿宋_GB2312" w:eastAsia="仿宋_GB2312"/>
          <w:color w:val="auto"/>
          <w:sz w:val="32"/>
          <w:szCs w:val="32"/>
        </w:rPr>
        <w:t>。</w:t>
      </w:r>
    </w:p>
    <w:p w14:paraId="7F58C3F2">
      <w:pPr>
        <w:keepNext w:val="0"/>
        <w:keepLines w:val="0"/>
        <w:pageBreakBefore w:val="0"/>
        <w:widowControl w:val="0"/>
        <w:kinsoku/>
        <w:wordWrap/>
        <w:overflowPunct/>
        <w:topLinePunct w:val="0"/>
        <w:autoSpaceDE/>
        <w:autoSpaceDN/>
        <w:bidi w:val="0"/>
        <w:adjustRightInd/>
        <w:snapToGrid/>
        <w:spacing w:line="560" w:lineRule="exact"/>
        <w:ind w:firstLine="63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lang w:val="en-US" w:eastAsia="zh-CN"/>
        </w:rPr>
        <w:t>2.</w:t>
      </w:r>
      <w:r>
        <w:rPr>
          <w:rFonts w:hint="eastAsia" w:ascii="仿宋" w:hAnsi="仿宋" w:eastAsia="仿宋" w:cs="仿宋"/>
          <w:b/>
          <w:bCs/>
          <w:sz w:val="32"/>
          <w:szCs w:val="32"/>
        </w:rPr>
        <w:t>对外宣传工作</w:t>
      </w:r>
    </w:p>
    <w:p w14:paraId="2B87F6D2">
      <w:pPr>
        <w:keepNext w:val="0"/>
        <w:keepLines w:val="0"/>
        <w:pageBreakBefore w:val="0"/>
        <w:widowControl/>
        <w:suppressLineNumbers w:val="0"/>
        <w:kinsoku/>
        <w:wordWrap/>
        <w:overflowPunct/>
        <w:topLinePunct w:val="0"/>
        <w:autoSpaceDE/>
        <w:autoSpaceDN/>
        <w:bidi w:val="0"/>
        <w:adjustRightInd/>
        <w:snapToGrid/>
        <w:spacing w:line="580" w:lineRule="exact"/>
        <w:ind w:firstLine="640" w:firstLineChars="200"/>
        <w:jc w:val="left"/>
        <w:textAlignment w:val="auto"/>
        <w:rPr>
          <w:rFonts w:hint="eastAsia"/>
          <w:lang w:val="en-US" w:eastAsia="zh-CN"/>
        </w:rPr>
      </w:pPr>
      <w:r>
        <w:rPr>
          <w:rFonts w:hint="eastAsia" w:ascii="仿宋_GB2312" w:hAnsi="仿宋_GB2312" w:eastAsia="仿宋_GB2312" w:cs="仿宋_GB2312"/>
          <w:color w:val="auto"/>
          <w:sz w:val="32"/>
          <w:szCs w:val="32"/>
        </w:rPr>
        <w:t>围绕产业发展、招商引资、城区建设等重点工作</w:t>
      </w:r>
      <w:r>
        <w:rPr>
          <w:rFonts w:hint="eastAsia" w:ascii="仿宋_GB2312" w:hAnsi="仿宋_GB2312" w:eastAsia="仿宋_GB2312" w:cs="仿宋_GB2312"/>
          <w:color w:val="auto"/>
          <w:sz w:val="32"/>
          <w:szCs w:val="32"/>
          <w:lang w:eastAsia="zh-CN"/>
        </w:rPr>
        <w:t>多次召开选题会，</w:t>
      </w:r>
      <w:r>
        <w:rPr>
          <w:rFonts w:hint="eastAsia" w:ascii="仿宋_GB2312" w:hAnsi="仿宋_GB2312" w:eastAsia="仿宋_GB2312" w:cs="仿宋_GB2312"/>
          <w:color w:val="auto"/>
          <w:sz w:val="32"/>
          <w:szCs w:val="32"/>
        </w:rPr>
        <w:t>全方位、多角度、立体式进行宣传报道，</w:t>
      </w:r>
      <w:r>
        <w:rPr>
          <w:rFonts w:hint="eastAsia" w:ascii="仿宋_GB2312" w:hAnsi="仿宋_GB2312" w:eastAsia="仿宋_GB2312" w:cs="仿宋_GB2312"/>
          <w:color w:val="auto"/>
          <w:sz w:val="32"/>
          <w:szCs w:val="32"/>
          <w:lang w:eastAsia="zh-CN"/>
        </w:rPr>
        <w:t>真正实现让正能量引领大流量，大流量放大正能量，</w:t>
      </w:r>
      <w:r>
        <w:rPr>
          <w:rFonts w:hint="eastAsia" w:ascii="仿宋_GB2312" w:hAnsi="仿宋_GB2312" w:eastAsia="仿宋_GB2312" w:cs="仿宋_GB2312"/>
          <w:color w:val="auto"/>
          <w:sz w:val="32"/>
          <w:szCs w:val="32"/>
          <w:lang w:val="en-US" w:eastAsia="zh-CN"/>
        </w:rPr>
        <w:t>充分彰显新华形象</w:t>
      </w:r>
      <w:r>
        <w:rPr>
          <w:rFonts w:hint="eastAsia" w:ascii="仿宋_GB2312" w:hAnsi="仿宋_GB2312" w:eastAsia="仿宋_GB2312" w:cs="仿宋_GB2312"/>
          <w:color w:val="auto"/>
          <w:sz w:val="32"/>
          <w:szCs w:val="32"/>
        </w:rPr>
        <w:t>。</w:t>
      </w:r>
      <w:r>
        <w:rPr>
          <w:rFonts w:hint="eastAsia" w:ascii="仿宋_GB2312" w:hAnsi="仿宋_GB2312" w:eastAsia="仿宋_GB2312" w:cs="仿宋_GB2312"/>
          <w:color w:val="auto"/>
          <w:sz w:val="32"/>
          <w:szCs w:val="32"/>
          <w:lang w:val="en-US" w:eastAsia="zh-CN"/>
        </w:rPr>
        <w:t>2025年</w:t>
      </w:r>
      <w:r>
        <w:rPr>
          <w:rFonts w:hint="eastAsia" w:ascii="仿宋_GB2312" w:hAnsi="仿宋_GB2312" w:eastAsia="仿宋_GB2312" w:cs="仿宋_GB2312"/>
          <w:b w:val="0"/>
          <w:bCs w:val="0"/>
          <w:color w:val="auto"/>
          <w:kern w:val="2"/>
          <w:sz w:val="32"/>
          <w:szCs w:val="32"/>
        </w:rPr>
        <w:t>，中央和省市各级媒体累计刊发我区新闻稿件</w:t>
      </w:r>
      <w:r>
        <w:rPr>
          <w:rFonts w:hint="eastAsia" w:ascii="仿宋_GB2312" w:hAnsi="仿宋_GB2312" w:eastAsia="仿宋_GB2312" w:cs="仿宋_GB2312"/>
          <w:b w:val="0"/>
          <w:bCs w:val="0"/>
          <w:color w:val="auto"/>
          <w:kern w:val="2"/>
          <w:sz w:val="32"/>
          <w:szCs w:val="32"/>
          <w:lang w:val="en-US" w:eastAsia="zh-CN"/>
        </w:rPr>
        <w:t>62</w:t>
      </w:r>
      <w:r>
        <w:rPr>
          <w:rFonts w:hint="eastAsia" w:ascii="仿宋_GB2312" w:hAnsi="仿宋_GB2312" w:eastAsia="仿宋_GB2312" w:cs="仿宋_GB2312"/>
          <w:b w:val="0"/>
          <w:bCs w:val="0"/>
          <w:color w:val="auto"/>
          <w:kern w:val="2"/>
          <w:sz w:val="32"/>
          <w:szCs w:val="32"/>
        </w:rPr>
        <w:t>00余篇。其中，</w:t>
      </w:r>
      <w:r>
        <w:rPr>
          <w:rFonts w:hint="eastAsia" w:ascii="仿宋_GB2312" w:hAnsi="仿宋_GB2312" w:eastAsia="仿宋_GB2312" w:cs="仿宋_GB2312"/>
          <w:b w:val="0"/>
          <w:bCs w:val="0"/>
          <w:color w:val="auto"/>
          <w:kern w:val="2"/>
          <w:sz w:val="32"/>
          <w:szCs w:val="32"/>
          <w:lang w:val="en-US" w:eastAsia="zh-CN"/>
        </w:rPr>
        <w:t>新华社、光明日报等</w:t>
      </w:r>
      <w:r>
        <w:rPr>
          <w:rFonts w:hint="eastAsia" w:ascii="仿宋_GB2312" w:hAnsi="仿宋_GB2312" w:eastAsia="仿宋_GB2312" w:cs="仿宋_GB2312"/>
          <w:b w:val="0"/>
          <w:bCs w:val="0"/>
          <w:color w:val="auto"/>
          <w:kern w:val="2"/>
          <w:sz w:val="32"/>
          <w:szCs w:val="32"/>
        </w:rPr>
        <w:t>央级媒体报道</w:t>
      </w:r>
      <w:r>
        <w:rPr>
          <w:rFonts w:hint="eastAsia" w:ascii="仿宋_GB2312" w:hAnsi="仿宋_GB2312" w:eastAsia="仿宋_GB2312" w:cs="仿宋_GB2312"/>
          <w:b w:val="0"/>
          <w:bCs w:val="0"/>
          <w:color w:val="auto"/>
          <w:kern w:val="2"/>
          <w:sz w:val="32"/>
          <w:szCs w:val="32"/>
          <w:lang w:val="en-US" w:eastAsia="zh-CN"/>
        </w:rPr>
        <w:t>315</w:t>
      </w:r>
      <w:r>
        <w:rPr>
          <w:rFonts w:hint="eastAsia" w:ascii="仿宋_GB2312" w:hAnsi="仿宋_GB2312" w:eastAsia="仿宋_GB2312" w:cs="仿宋_GB2312"/>
          <w:b w:val="0"/>
          <w:bCs w:val="0"/>
          <w:color w:val="auto"/>
          <w:kern w:val="2"/>
          <w:sz w:val="32"/>
          <w:szCs w:val="32"/>
        </w:rPr>
        <w:t>篇。</w:t>
      </w:r>
    </w:p>
    <w:p w14:paraId="54EAC702">
      <w:pPr>
        <w:keepNext w:val="0"/>
        <w:keepLines w:val="0"/>
        <w:pageBreakBefore w:val="0"/>
        <w:widowControl w:val="0"/>
        <w:kinsoku/>
        <w:wordWrap/>
        <w:overflowPunct/>
        <w:topLinePunct w:val="0"/>
        <w:autoSpaceDE/>
        <w:autoSpaceDN/>
        <w:bidi w:val="0"/>
        <w:adjustRightInd/>
        <w:snapToGrid/>
        <w:spacing w:line="560" w:lineRule="exact"/>
        <w:ind w:firstLine="63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lang w:val="en-US" w:eastAsia="zh-CN"/>
        </w:rPr>
        <w:t>3.</w:t>
      </w:r>
      <w:r>
        <w:rPr>
          <w:rFonts w:hint="eastAsia" w:ascii="仿宋" w:hAnsi="仿宋" w:eastAsia="仿宋" w:cs="仿宋"/>
          <w:b/>
          <w:bCs/>
          <w:sz w:val="32"/>
          <w:szCs w:val="32"/>
        </w:rPr>
        <w:t>精神文明建设</w:t>
      </w:r>
    </w:p>
    <w:p w14:paraId="0E7F3711">
      <w:pPr>
        <w:keepNext w:val="0"/>
        <w:keepLines w:val="0"/>
        <w:pageBreakBefore w:val="0"/>
        <w:widowControl/>
        <w:suppressLineNumbers w:val="0"/>
        <w:kinsoku/>
        <w:wordWrap/>
        <w:overflowPunct/>
        <w:topLinePunct w:val="0"/>
        <w:autoSpaceDE/>
        <w:autoSpaceDN/>
        <w:bidi w:val="0"/>
        <w:adjustRightInd/>
        <w:snapToGrid/>
        <w:spacing w:line="580" w:lineRule="exact"/>
        <w:ind w:firstLine="640" w:firstLineChars="200"/>
        <w:jc w:val="left"/>
        <w:textAlignment w:val="auto"/>
        <w:rPr>
          <w:rFonts w:hint="eastAsia" w:ascii="仿宋_GB2312" w:hAnsi="仿宋_GB2312" w:eastAsia="仿宋_GB2312" w:cs="仿宋_GB2312"/>
          <w:b w:val="0"/>
          <w:bCs w:val="0"/>
          <w:color w:val="auto"/>
          <w:kern w:val="2"/>
          <w:sz w:val="32"/>
          <w:szCs w:val="32"/>
          <w:lang w:val="en-US" w:eastAsia="zh-CN"/>
        </w:rPr>
      </w:pPr>
      <w:r>
        <w:rPr>
          <w:rFonts w:hint="eastAsia" w:ascii="仿宋_GB2312" w:hAnsi="仿宋_GB2312" w:eastAsia="仿宋_GB2312" w:cs="仿宋_GB2312"/>
          <w:b w:val="0"/>
          <w:bCs w:val="0"/>
          <w:color w:val="auto"/>
          <w:kern w:val="2"/>
          <w:sz w:val="32"/>
          <w:szCs w:val="32"/>
          <w:lang w:val="en-US" w:eastAsia="zh-CN"/>
        </w:rPr>
        <w:t>以“双争”活动为抓手，充分发挥思想感召力、文化滋养力和价值引领力，发挥典范作用，鲜明价值导向，进一步营造了向上向善的社会风尚。2025年，我区1人当选中国好人，2人当选河北好人，1人当选全省岗位学雷锋标兵，1人当选省级“新时代好少年”，3人当选市级“新时代好少年”。同时，坚持以文明城市创建为统领，统筹推进文明单位、文明家庭、文明校园等群众性创建活动。区卫生队获评全国文明单位，北新街社区复查保留全国文明单位荣誉称号。市第二十八中学和李合家庭首次获评全国文明校园、全国文明家庭，在文明校园与文明家庭两大创建领域实现了历史性突破。</w:t>
      </w:r>
    </w:p>
    <w:p w14:paraId="678DA432">
      <w:pPr>
        <w:keepNext w:val="0"/>
        <w:keepLines w:val="0"/>
        <w:pageBreakBefore w:val="0"/>
        <w:widowControl w:val="0"/>
        <w:kinsoku/>
        <w:wordWrap/>
        <w:overflowPunct/>
        <w:topLinePunct w:val="0"/>
        <w:autoSpaceDE/>
        <w:autoSpaceDN/>
        <w:bidi w:val="0"/>
        <w:adjustRightInd/>
        <w:snapToGrid/>
        <w:spacing w:line="560" w:lineRule="exact"/>
        <w:ind w:firstLine="63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lang w:val="en-US" w:eastAsia="zh-CN"/>
        </w:rPr>
        <w:t>4.</w:t>
      </w:r>
      <w:r>
        <w:rPr>
          <w:rFonts w:hint="eastAsia" w:ascii="仿宋" w:hAnsi="仿宋" w:eastAsia="仿宋" w:cs="仿宋"/>
          <w:b/>
          <w:bCs/>
          <w:sz w:val="32"/>
          <w:szCs w:val="32"/>
        </w:rPr>
        <w:t>文化事业</w:t>
      </w:r>
      <w:r>
        <w:rPr>
          <w:rFonts w:hint="eastAsia" w:ascii="仿宋" w:hAnsi="仿宋" w:eastAsia="仿宋" w:cs="仿宋"/>
          <w:b/>
          <w:bCs/>
          <w:sz w:val="32"/>
          <w:szCs w:val="32"/>
          <w:lang w:eastAsia="zh-CN"/>
        </w:rPr>
        <w:t>、产业</w:t>
      </w:r>
      <w:r>
        <w:rPr>
          <w:rFonts w:hint="eastAsia" w:ascii="仿宋" w:hAnsi="仿宋" w:eastAsia="仿宋" w:cs="仿宋"/>
          <w:b/>
          <w:bCs/>
          <w:sz w:val="32"/>
          <w:szCs w:val="32"/>
        </w:rPr>
        <w:t>发展</w:t>
      </w:r>
    </w:p>
    <w:p w14:paraId="6F3E9032">
      <w:pPr>
        <w:keepNext w:val="0"/>
        <w:keepLines w:val="0"/>
        <w:pageBreakBefore w:val="0"/>
        <w:kinsoku/>
        <w:wordWrap/>
        <w:overflowPunct/>
        <w:topLinePunct w:val="0"/>
        <w:autoSpaceDE/>
        <w:autoSpaceDN/>
        <w:bidi w:val="0"/>
        <w:spacing w:line="58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b w:val="0"/>
          <w:bCs w:val="0"/>
          <w:color w:val="auto"/>
          <w:kern w:val="0"/>
          <w:sz w:val="32"/>
          <w:szCs w:val="32"/>
          <w:lang w:val="en-US" w:eastAsia="zh-CN" w:bidi="ar"/>
        </w:rPr>
        <w:t>着力打造“书香新华”品牌，2025年度石家庄市全民阅读活动启动仪式在我区柏林庄学校举行，同步推出</w:t>
      </w:r>
      <w:r>
        <w:rPr>
          <w:rFonts w:hint="eastAsia" w:ascii="仿宋_GB2312" w:eastAsia="仿宋_GB2312"/>
          <w:color w:val="auto"/>
          <w:sz w:val="32"/>
          <w:szCs w:val="32"/>
        </w:rPr>
        <w:t>“书香新华韵 奋进新征程”——</w:t>
      </w:r>
      <w:r>
        <w:rPr>
          <w:rFonts w:hint="eastAsia" w:ascii="仿宋_GB2312" w:eastAsia="仿宋_GB2312"/>
          <w:color w:val="auto"/>
          <w:sz w:val="32"/>
          <w:szCs w:val="32"/>
          <w:lang w:val="en-US" w:eastAsia="zh-CN"/>
        </w:rPr>
        <w:t>2025年</w:t>
      </w:r>
      <w:r>
        <w:rPr>
          <w:rFonts w:ascii="仿宋_GB2312" w:eastAsia="仿宋_GB2312"/>
          <w:color w:val="auto"/>
          <w:sz w:val="32"/>
          <w:szCs w:val="32"/>
        </w:rPr>
        <w:t>全民阅读</w:t>
      </w:r>
      <w:r>
        <w:rPr>
          <w:rFonts w:hint="eastAsia" w:ascii="仿宋_GB2312" w:eastAsia="仿宋_GB2312"/>
          <w:color w:val="auto"/>
          <w:sz w:val="32"/>
          <w:szCs w:val="32"/>
          <w:lang w:eastAsia="zh-CN"/>
        </w:rPr>
        <w:t>专属</w:t>
      </w:r>
      <w:r>
        <w:rPr>
          <w:rFonts w:ascii="仿宋_GB2312" w:eastAsia="仿宋_GB2312"/>
          <w:color w:val="auto"/>
          <w:sz w:val="32"/>
          <w:szCs w:val="32"/>
        </w:rPr>
        <w:t>活动。线上依托喜马拉雅平台举办</w:t>
      </w:r>
      <w:r>
        <w:rPr>
          <w:rFonts w:hint="eastAsia" w:ascii="仿宋_GB2312" w:eastAsia="仿宋_GB2312"/>
          <w:color w:val="auto"/>
          <w:sz w:val="32"/>
          <w:szCs w:val="32"/>
        </w:rPr>
        <w:t>“</w:t>
      </w:r>
      <w:r>
        <w:rPr>
          <w:rFonts w:ascii="仿宋_GB2312" w:eastAsia="仿宋_GB2312"/>
          <w:color w:val="auto"/>
          <w:sz w:val="32"/>
          <w:szCs w:val="32"/>
        </w:rPr>
        <w:t>经典作品线上朗读大赛</w:t>
      </w:r>
      <w:r>
        <w:rPr>
          <w:rFonts w:hint="eastAsia" w:ascii="仿宋_GB2312" w:eastAsia="仿宋_GB2312"/>
          <w:color w:val="auto"/>
          <w:sz w:val="32"/>
          <w:szCs w:val="32"/>
        </w:rPr>
        <w:t>”</w:t>
      </w:r>
      <w:r>
        <w:rPr>
          <w:rFonts w:ascii="仿宋_GB2312" w:eastAsia="仿宋_GB2312"/>
          <w:color w:val="auto"/>
          <w:sz w:val="32"/>
          <w:szCs w:val="32"/>
        </w:rPr>
        <w:t>，线下围绕春种护苗、夏耘共生、秋收担当、冬藏传家等主题，</w:t>
      </w:r>
      <w:r>
        <w:rPr>
          <w:rFonts w:hint="eastAsia" w:ascii="仿宋_GB2312" w:eastAsia="仿宋_GB2312"/>
          <w:color w:val="auto"/>
          <w:sz w:val="32"/>
          <w:szCs w:val="32"/>
          <w:lang w:val="en-US" w:eastAsia="zh-CN"/>
        </w:rPr>
        <w:t>共</w:t>
      </w:r>
      <w:r>
        <w:rPr>
          <w:rFonts w:ascii="仿宋_GB2312" w:eastAsia="仿宋_GB2312"/>
          <w:color w:val="auto"/>
          <w:sz w:val="32"/>
          <w:szCs w:val="32"/>
        </w:rPr>
        <w:t>举办活动</w:t>
      </w:r>
      <w:r>
        <w:rPr>
          <w:rFonts w:hint="eastAsia" w:ascii="仿宋_GB2312" w:eastAsia="仿宋_GB2312"/>
          <w:color w:val="auto"/>
          <w:sz w:val="32"/>
          <w:szCs w:val="32"/>
          <w:lang w:val="en-US" w:eastAsia="zh-CN"/>
        </w:rPr>
        <w:t>28</w:t>
      </w:r>
      <w:r>
        <w:rPr>
          <w:rFonts w:ascii="仿宋_GB2312" w:eastAsia="仿宋_GB2312"/>
          <w:color w:val="auto"/>
          <w:sz w:val="32"/>
          <w:szCs w:val="32"/>
        </w:rPr>
        <w:t>场，吸引万余人次参</w:t>
      </w:r>
      <w:r>
        <w:rPr>
          <w:rFonts w:hint="eastAsia" w:ascii="仿宋_GB2312" w:eastAsia="仿宋_GB2312"/>
          <w:color w:val="auto"/>
          <w:sz w:val="32"/>
          <w:szCs w:val="32"/>
          <w:lang w:eastAsia="zh-CN"/>
        </w:rPr>
        <w:t>与，在全区营造了浓厚的阅读氛围</w:t>
      </w:r>
      <w:r>
        <w:rPr>
          <w:rFonts w:ascii="仿宋_GB2312" w:eastAsia="仿宋_GB2312"/>
          <w:color w:val="auto"/>
          <w:sz w:val="32"/>
          <w:szCs w:val="32"/>
        </w:rPr>
        <w:t>。</w:t>
      </w:r>
      <w:r>
        <w:rPr>
          <w:rFonts w:hint="eastAsia" w:ascii="仿宋_GB2312" w:eastAsia="仿宋_GB2312"/>
          <w:color w:val="auto"/>
          <w:sz w:val="32"/>
          <w:szCs w:val="32"/>
          <w:lang w:eastAsia="zh-CN"/>
        </w:rPr>
        <w:t>加强文化阵地建设，创新服务供给模式，深化惠民成效，推动文化服务品质与群众获得感同步增强。</w:t>
      </w:r>
      <w:r>
        <w:rPr>
          <w:rFonts w:hint="eastAsia" w:ascii="仿宋_GB2312" w:eastAsia="仿宋_GB2312"/>
          <w:sz w:val="32"/>
          <w:szCs w:val="32"/>
        </w:rPr>
        <w:t>整合全区18家文化名家工作室，开展优秀传统文化“点单式”服务，社区、学校按需“下单”，文化名家精准“接单”，实现良性互动，</w:t>
      </w:r>
      <w:r>
        <w:rPr>
          <w:rFonts w:hint="eastAsia" w:ascii="仿宋_GB2312" w:eastAsia="仿宋_GB2312"/>
          <w:sz w:val="32"/>
          <w:szCs w:val="32"/>
          <w:lang w:val="en-US" w:eastAsia="zh-CN"/>
        </w:rPr>
        <w:t>共</w:t>
      </w:r>
      <w:r>
        <w:rPr>
          <w:rFonts w:hint="eastAsia" w:ascii="仿宋_GB2312" w:eastAsia="仿宋_GB2312"/>
          <w:sz w:val="32"/>
          <w:szCs w:val="32"/>
        </w:rPr>
        <w:t>开展活动110场。举办“彩色周末”、“每月一剧”等各类文化进基层惠民演出265场，相关宣传报道120余篇，有效丰富了基层群众精神文化生活，实现了文化服务效能与群众满意度新提升。</w:t>
      </w:r>
    </w:p>
    <w:p w14:paraId="1BFDB6BB">
      <w:pPr>
        <w:keepNext w:val="0"/>
        <w:keepLines w:val="0"/>
        <w:pageBreakBefore w:val="0"/>
        <w:widowControl w:val="0"/>
        <w:kinsoku/>
        <w:wordWrap/>
        <w:overflowPunct/>
        <w:topLinePunct w:val="0"/>
        <w:autoSpaceDE/>
        <w:autoSpaceDN/>
        <w:bidi w:val="0"/>
        <w:adjustRightInd/>
        <w:snapToGrid/>
        <w:spacing w:line="560" w:lineRule="exact"/>
        <w:ind w:firstLine="630"/>
        <w:textAlignment w:val="auto"/>
        <w:outlineLvl w:val="9"/>
        <w:rPr>
          <w:rFonts w:hint="eastAsia" w:ascii="仿宋" w:hAnsi="仿宋" w:eastAsia="仿宋" w:cs="仿宋"/>
          <w:b/>
          <w:bCs/>
          <w:sz w:val="32"/>
          <w:szCs w:val="32"/>
        </w:rPr>
      </w:pPr>
      <w:r>
        <w:rPr>
          <w:rFonts w:hint="eastAsia" w:ascii="仿宋" w:hAnsi="仿宋" w:eastAsia="仿宋" w:cs="仿宋"/>
          <w:b/>
          <w:bCs/>
          <w:sz w:val="32"/>
          <w:szCs w:val="32"/>
          <w:lang w:val="en-US" w:eastAsia="zh-CN"/>
        </w:rPr>
        <w:t>5.</w:t>
      </w:r>
      <w:r>
        <w:rPr>
          <w:rFonts w:hint="eastAsia" w:ascii="仿宋" w:hAnsi="仿宋" w:eastAsia="仿宋" w:cs="仿宋"/>
          <w:b/>
          <w:bCs/>
          <w:sz w:val="32"/>
          <w:szCs w:val="32"/>
        </w:rPr>
        <w:t>宣传事务管理</w:t>
      </w:r>
    </w:p>
    <w:p w14:paraId="0C3D45FC">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hAnsi="仿宋_GB2312" w:eastAsia="仿宋_GB2312" w:cs="仿宋_GB2312"/>
          <w:kern w:val="2"/>
          <w:sz w:val="32"/>
          <w:szCs w:val="32"/>
          <w:lang w:val="en-US" w:eastAsia="zh-CN" w:bidi="ar-SA"/>
        </w:rPr>
      </w:pPr>
      <w:r>
        <w:rPr>
          <w:rFonts w:hint="eastAsia" w:ascii="仿宋" w:hAnsi="仿宋" w:eastAsia="仿宋" w:cs="仿宋"/>
          <w:sz w:val="32"/>
          <w:szCs w:val="32"/>
          <w:lang w:val="en-US" w:eastAsia="zh-CN"/>
        </w:rPr>
        <w:t>宣传部</w:t>
      </w:r>
      <w:r>
        <w:rPr>
          <w:rFonts w:hint="eastAsia" w:ascii="仿宋" w:hAnsi="仿宋" w:eastAsia="仿宋" w:cs="仿宋"/>
          <w:sz w:val="32"/>
          <w:szCs w:val="32"/>
        </w:rPr>
        <w:t>各项业务工作谋划到位、顺利开展，保障机关工作正常高效运转</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坚持学思用贯通，知信行统一，</w:t>
      </w:r>
      <w:r>
        <w:rPr>
          <w:rFonts w:hint="eastAsia" w:ascii="仿宋" w:hAnsi="仿宋" w:eastAsia="仿宋" w:cs="仿宋"/>
          <w:sz w:val="32"/>
          <w:szCs w:val="32"/>
        </w:rPr>
        <w:t>做好</w:t>
      </w:r>
      <w:r>
        <w:rPr>
          <w:rFonts w:hint="eastAsia" w:ascii="仿宋" w:hAnsi="仿宋" w:eastAsia="仿宋" w:cs="仿宋"/>
          <w:sz w:val="32"/>
          <w:szCs w:val="32"/>
          <w:lang w:val="en-US" w:eastAsia="zh-CN"/>
        </w:rPr>
        <w:t>宣传</w:t>
      </w:r>
      <w:r>
        <w:rPr>
          <w:rFonts w:hint="eastAsia" w:ascii="仿宋" w:hAnsi="仿宋" w:eastAsia="仿宋" w:cs="仿宋"/>
          <w:sz w:val="32"/>
          <w:szCs w:val="32"/>
        </w:rPr>
        <w:t>干部培训管理，</w:t>
      </w:r>
      <w:r>
        <w:rPr>
          <w:rFonts w:hint="eastAsia" w:ascii="仿宋" w:hAnsi="仿宋" w:eastAsia="仿宋" w:cs="仿宋"/>
          <w:sz w:val="32"/>
          <w:szCs w:val="32"/>
          <w:lang w:val="en-US" w:eastAsia="zh-CN"/>
        </w:rPr>
        <w:t>积极发挥新闻宣传在推进各项工作中的先导和服务作用。</w:t>
      </w:r>
    </w:p>
    <w:p w14:paraId="3FCDB0BA">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1DBDD26F">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根据部门职责定位和各项工作履职情况进行综合评价，给出总得分</w:t>
      </w:r>
      <w:r>
        <w:rPr>
          <w:rFonts w:hint="eastAsia" w:ascii="仿宋_GB2312" w:hAnsi="仿宋_GB2312" w:eastAsia="仿宋_GB2312" w:cs="仿宋_GB2312"/>
          <w:sz w:val="32"/>
          <w:szCs w:val="32"/>
          <w:lang w:val="en-US" w:eastAsia="zh-CN"/>
        </w:rPr>
        <w:t>96分</w:t>
      </w:r>
      <w:r>
        <w:rPr>
          <w:rFonts w:hint="eastAsia" w:ascii="仿宋_GB2312" w:hAnsi="仿宋_GB2312" w:eastAsia="仿宋_GB2312" w:cs="仿宋_GB2312"/>
          <w:sz w:val="32"/>
          <w:szCs w:val="32"/>
        </w:rPr>
        <w:t>，部门整体支出综合绩效评价为优秀。</w:t>
      </w:r>
    </w:p>
    <w:p w14:paraId="69D06FF9">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3CB1C304">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7F875731">
      <w:pPr>
        <w:spacing w:line="54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b w:val="0"/>
          <w:bCs w:val="0"/>
          <w:color w:val="000000"/>
          <w:sz w:val="32"/>
          <w:szCs w:val="32"/>
        </w:rPr>
        <w:t>绩效管理工作有待进一步提升</w:t>
      </w:r>
      <w:r>
        <w:rPr>
          <w:rFonts w:hint="eastAsia" w:ascii="仿宋_GB2312" w:hAnsi="仿宋_GB2312" w:eastAsia="仿宋_GB2312" w:cs="仿宋_GB2312"/>
          <w:b w:val="0"/>
          <w:bCs w:val="0"/>
          <w:color w:val="000000"/>
          <w:sz w:val="32"/>
          <w:szCs w:val="32"/>
          <w:lang w:eastAsia="zh-CN"/>
        </w:rPr>
        <w:t>，</w:t>
      </w:r>
      <w:r>
        <w:rPr>
          <w:rFonts w:hint="eastAsia" w:ascii="仿宋_GB2312" w:hAnsi="仿宋_GB2312" w:eastAsia="仿宋_GB2312" w:cs="仿宋_GB2312"/>
          <w:sz w:val="32"/>
          <w:szCs w:val="32"/>
        </w:rPr>
        <w:t>资金的绩效意识</w:t>
      </w:r>
      <w:r>
        <w:rPr>
          <w:rFonts w:hint="eastAsia" w:ascii="仿宋_GB2312" w:hAnsi="仿宋_GB2312" w:eastAsia="仿宋_GB2312" w:cs="仿宋_GB2312"/>
          <w:sz w:val="32"/>
          <w:szCs w:val="32"/>
          <w:lang w:val="en-US" w:eastAsia="zh-CN"/>
        </w:rPr>
        <w:t>不强</w:t>
      </w:r>
      <w:r>
        <w:rPr>
          <w:rFonts w:hint="eastAsia" w:ascii="仿宋_GB2312" w:hAnsi="仿宋_GB2312" w:eastAsia="仿宋_GB2312" w:cs="仿宋_GB2312"/>
          <w:sz w:val="32"/>
          <w:szCs w:val="32"/>
        </w:rPr>
        <w:t>，发挥资金效益</w:t>
      </w:r>
      <w:r>
        <w:rPr>
          <w:rFonts w:hint="eastAsia" w:ascii="仿宋_GB2312" w:hAnsi="仿宋_GB2312" w:eastAsia="仿宋_GB2312" w:cs="仿宋_GB2312"/>
          <w:sz w:val="32"/>
          <w:szCs w:val="32"/>
          <w:lang w:val="en-US" w:eastAsia="zh-CN"/>
        </w:rPr>
        <w:t>不充分</w:t>
      </w:r>
      <w:r>
        <w:rPr>
          <w:rFonts w:hint="eastAsia" w:ascii="仿宋_GB2312" w:hAnsi="仿宋_GB2312" w:eastAsia="仿宋_GB2312" w:cs="仿宋_GB2312"/>
          <w:sz w:val="32"/>
          <w:szCs w:val="32"/>
        </w:rPr>
        <w:t>。</w:t>
      </w:r>
    </w:p>
    <w:p w14:paraId="6A8AB41C">
      <w:pPr>
        <w:numPr>
          <w:ilvl w:val="0"/>
          <w:numId w:val="0"/>
        </w:numPr>
        <w:spacing w:line="560" w:lineRule="exact"/>
        <w:ind w:firstLine="640" w:firstLineChars="200"/>
      </w:pPr>
      <w:r>
        <w:rPr>
          <w:rFonts w:hint="eastAsia" w:ascii="楷体" w:hAnsi="楷体" w:eastAsia="楷体"/>
          <w:bCs/>
          <w:sz w:val="32"/>
          <w:szCs w:val="32"/>
          <w:lang w:eastAsia="zh-CN"/>
        </w:rPr>
        <w:t>（</w:t>
      </w:r>
      <w:r>
        <w:rPr>
          <w:rFonts w:hint="eastAsia" w:ascii="楷体" w:hAnsi="楷体" w:eastAsia="楷体"/>
          <w:bCs/>
          <w:sz w:val="32"/>
          <w:szCs w:val="32"/>
          <w:lang w:val="en-US" w:eastAsia="zh-CN"/>
        </w:rPr>
        <w:t>二</w:t>
      </w:r>
      <w:r>
        <w:rPr>
          <w:rFonts w:hint="eastAsia" w:ascii="楷体" w:hAnsi="楷体" w:eastAsia="楷体"/>
          <w:bCs/>
          <w:sz w:val="32"/>
          <w:szCs w:val="32"/>
          <w:lang w:eastAsia="zh-CN"/>
        </w:rPr>
        <w:t>）</w:t>
      </w:r>
      <w:r>
        <w:rPr>
          <w:rFonts w:hint="eastAsia" w:ascii="楷体" w:hAnsi="楷体" w:eastAsia="楷体"/>
          <w:bCs/>
          <w:sz w:val="32"/>
          <w:szCs w:val="32"/>
        </w:rPr>
        <w:t>针对问题提出具体的改进措施或建议</w:t>
      </w:r>
    </w:p>
    <w:p w14:paraId="776B84C7">
      <w:pPr>
        <w:spacing w:line="560" w:lineRule="exact"/>
        <w:ind w:firstLine="640" w:firstLineChars="20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color w:val="000000"/>
          <w:sz w:val="32"/>
          <w:szCs w:val="32"/>
        </w:rPr>
        <w:t>我们将在今后的工作中</w:t>
      </w:r>
      <w:r>
        <w:rPr>
          <w:rFonts w:hint="eastAsia" w:ascii="仿宋_GB2312" w:hAnsi="仿宋_GB2312" w:eastAsia="仿宋_GB2312" w:cs="仿宋_GB2312"/>
          <w:b w:val="0"/>
          <w:bCs w:val="0"/>
          <w:sz w:val="32"/>
          <w:szCs w:val="32"/>
          <w:lang w:val="en-US" w:eastAsia="zh-CN"/>
        </w:rPr>
        <w:t>严格</w:t>
      </w:r>
      <w:r>
        <w:rPr>
          <w:rFonts w:hint="eastAsia" w:ascii="仿宋_GB2312" w:hAnsi="仿宋_GB2312" w:eastAsia="仿宋_GB2312" w:cs="仿宋_GB2312"/>
          <w:b w:val="0"/>
          <w:bCs w:val="0"/>
          <w:sz w:val="32"/>
          <w:szCs w:val="32"/>
        </w:rPr>
        <w:t>做好项目管理和资金拨付，并进一步健全全过程绩效管理机制，完善绩效目标管理，做好绩效运行监控和绩效评价，充分发挥财政资金效益。</w:t>
      </w:r>
    </w:p>
    <w:p w14:paraId="64DD2AFF">
      <w:pPr>
        <w:numPr>
          <w:ilvl w:val="0"/>
          <w:numId w:val="0"/>
        </w:numPr>
        <w:spacing w:line="560" w:lineRule="exact"/>
        <w:ind w:firstLine="640" w:firstLineChars="200"/>
        <w:rPr>
          <w:rFonts w:hint="eastAsia" w:ascii="仿宋_GB2312" w:hAnsi="仿宋_GB2312" w:eastAsia="仿宋_GB2312" w:cs="仿宋_GB2312"/>
          <w:sz w:val="32"/>
          <w:szCs w:val="32"/>
        </w:rPr>
      </w:pPr>
    </w:p>
    <w:sectPr>
      <w:footerReference r:id="rId3" w:type="default"/>
      <w:pgSz w:w="11906" w:h="16838"/>
      <w:pgMar w:top="1440" w:right="1474" w:bottom="1440" w:left="1587" w:header="851" w:footer="992" w:gutter="0"/>
      <w:pgNumType w:fmt="numberInDash"/>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Cambria">
    <w:panose1 w:val="02040503050406030204"/>
    <w:charset w:val="00"/>
    <w:family w:val="auto"/>
    <w:pitch w:val="default"/>
    <w:sig w:usb0="E00006FF" w:usb1="420024FF" w:usb2="02000000" w:usb3="00000000" w:csb0="2000019F"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方正书宋_GBK">
    <w:altName w:val="微软雅黑"/>
    <w:panose1 w:val="02000000000000000000"/>
    <w:charset w:val="86"/>
    <w:family w:val="auto"/>
    <w:pitch w:val="default"/>
    <w:sig w:usb0="00000000" w:usb1="00000000" w:usb2="00082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B549D5">
    <w:pPr>
      <w:pStyle w:val="12"/>
    </w:pPr>
    <w:r>
      <w:pict>
        <v:shape id="Quad Arrow 3073" o:spid="_x0000_s4097" o:spt="202" type="#_x0000_t202" style="position:absolute;left:0pt;margin-top:0pt;height:144pt;width:144pt;mso-position-horizontal:center;mso-position-horizontal-relative:margin;mso-wrap-style:none;z-index:251659264;mso-width-relative:page;mso-height-relative:page;" filled="f" o:preferrelative="t" stroked="f" coordsize="21600,21600">
          <v:path/>
          <v:fill on="f" focussize="0,0"/>
          <v:stroke on="f" joinstyle="miter"/>
          <v:imagedata o:title=""/>
          <o:lock v:ext="edit"/>
          <v:textbox inset="0mm,0mm,0mm,0mm" style="mso-fit-shape-to-text:t;">
            <w:txbxContent>
              <w:p w14:paraId="14A644C1">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6BD633C"/>
    <w:multiLevelType w:val="singleLevel"/>
    <w:tmpl w:val="B6BD633C"/>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2">
    <w:nsid w:val="3D1CEF3C"/>
    <w:multiLevelType w:val="singleLevel"/>
    <w:tmpl w:val="3D1CEF3C"/>
    <w:lvl w:ilvl="0" w:tentative="0">
      <w:start w:val="1"/>
      <w:numFmt w:val="decimal"/>
      <w:pStyle w:val="2"/>
      <w:lvlText w:val="%1."/>
      <w:lvlJc w:val="left"/>
      <w:pPr>
        <w:tabs>
          <w:tab w:val="left" w:pos="420"/>
        </w:tabs>
        <w:ind w:left="425" w:hanging="425"/>
      </w:pPr>
      <w:rPr>
        <w:rFonts w:hint="default" w:ascii="仿宋" w:hAnsi="仿宋" w:eastAsia="仿宋" w:cs="Times New Roman"/>
        <w:sz w:val="32"/>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YzgxMzVhZTBlNDUyZWUxNDVhMjNkN2E1NjFlOTE5NDcifQ=="/>
  </w:docVars>
  <w:rsids>
    <w:rsidRoot w:val="0EBD2122"/>
    <w:rsid w:val="000B0260"/>
    <w:rsid w:val="007E6C1F"/>
    <w:rsid w:val="00956A93"/>
    <w:rsid w:val="009E575C"/>
    <w:rsid w:val="00AF167E"/>
    <w:rsid w:val="00AF566A"/>
    <w:rsid w:val="00B16301"/>
    <w:rsid w:val="00B478EA"/>
    <w:rsid w:val="00B6553A"/>
    <w:rsid w:val="00BC6576"/>
    <w:rsid w:val="00CE06BA"/>
    <w:rsid w:val="00F441CC"/>
    <w:rsid w:val="01B104CA"/>
    <w:rsid w:val="02106AB0"/>
    <w:rsid w:val="02B43A28"/>
    <w:rsid w:val="03EB50FA"/>
    <w:rsid w:val="046F331E"/>
    <w:rsid w:val="05F467D4"/>
    <w:rsid w:val="07956271"/>
    <w:rsid w:val="09721397"/>
    <w:rsid w:val="0A4038E0"/>
    <w:rsid w:val="0BB63BED"/>
    <w:rsid w:val="0C9511DE"/>
    <w:rsid w:val="0EB97A43"/>
    <w:rsid w:val="0EBD2122"/>
    <w:rsid w:val="0F214EAE"/>
    <w:rsid w:val="11B71E6A"/>
    <w:rsid w:val="14B64D09"/>
    <w:rsid w:val="14D252CE"/>
    <w:rsid w:val="1AAF0063"/>
    <w:rsid w:val="1B530478"/>
    <w:rsid w:val="1BE140DE"/>
    <w:rsid w:val="1C91675D"/>
    <w:rsid w:val="1FE66409"/>
    <w:rsid w:val="20C23AA9"/>
    <w:rsid w:val="248C197D"/>
    <w:rsid w:val="252959AF"/>
    <w:rsid w:val="25D71AA3"/>
    <w:rsid w:val="277A6671"/>
    <w:rsid w:val="292D35B7"/>
    <w:rsid w:val="29CE027F"/>
    <w:rsid w:val="2A8F0E56"/>
    <w:rsid w:val="2CA735E3"/>
    <w:rsid w:val="2D021EFE"/>
    <w:rsid w:val="33BE4DDD"/>
    <w:rsid w:val="33EB6CFF"/>
    <w:rsid w:val="354008DD"/>
    <w:rsid w:val="35A12947"/>
    <w:rsid w:val="37387040"/>
    <w:rsid w:val="394256A2"/>
    <w:rsid w:val="3B625C0A"/>
    <w:rsid w:val="3CEE1963"/>
    <w:rsid w:val="3E990561"/>
    <w:rsid w:val="433A5C59"/>
    <w:rsid w:val="436B78D3"/>
    <w:rsid w:val="4C9C27FE"/>
    <w:rsid w:val="4F3E37BC"/>
    <w:rsid w:val="4FAA48E3"/>
    <w:rsid w:val="512260B4"/>
    <w:rsid w:val="52BD6ACB"/>
    <w:rsid w:val="53B76DFA"/>
    <w:rsid w:val="53CB7E02"/>
    <w:rsid w:val="55537534"/>
    <w:rsid w:val="561A74F1"/>
    <w:rsid w:val="59626A67"/>
    <w:rsid w:val="597244E8"/>
    <w:rsid w:val="5B9D00EA"/>
    <w:rsid w:val="5BCF50E8"/>
    <w:rsid w:val="5C18797D"/>
    <w:rsid w:val="5EB14FD0"/>
    <w:rsid w:val="5EB71C30"/>
    <w:rsid w:val="60CF1C79"/>
    <w:rsid w:val="61C83E7A"/>
    <w:rsid w:val="66AF0CE5"/>
    <w:rsid w:val="6AC537CF"/>
    <w:rsid w:val="6E5B14A6"/>
    <w:rsid w:val="6F5013AD"/>
    <w:rsid w:val="707B723D"/>
    <w:rsid w:val="711B255E"/>
    <w:rsid w:val="716A714A"/>
    <w:rsid w:val="73573B44"/>
    <w:rsid w:val="75F00F0C"/>
    <w:rsid w:val="75F1698E"/>
    <w:rsid w:val="76E03B76"/>
    <w:rsid w:val="799523A9"/>
    <w:rsid w:val="7BB51E06"/>
    <w:rsid w:val="7C387F7C"/>
    <w:rsid w:val="7C6D0E2A"/>
    <w:rsid w:val="7E172803"/>
    <w:rsid w:val="7F93455B"/>
    <w:rsid w:val="7FE10A82"/>
    <w:rsid w:val="7FE83423"/>
  </w:rsids>
  <m:mathPr>
    <m:mathFont m:val="Cambria Math"/>
    <m:brkBin m:val="before"/>
    <m:brkBinSub m:val="--"/>
    <m:smallFrac m:val="1"/>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qFormat="1"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99"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99"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6">
    <w:name w:val="Default Paragraph Font"/>
    <w:semiHidden/>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5"/>
    <w:qFormat/>
    <w:uiPriority w:val="99"/>
    <w:pPr>
      <w:numPr>
        <w:ilvl w:val="0"/>
        <w:numId w:val="1"/>
      </w:numPr>
      <w:ind w:left="0" w:firstLine="420" w:firstLineChars="200"/>
    </w:pPr>
    <w:rPr>
      <w:rFonts w:ascii="Times New Roman" w:hAnsi="Times New Roman" w:eastAsia="仿宋"/>
    </w:rPr>
  </w:style>
  <w:style w:type="paragraph" w:styleId="3">
    <w:name w:val="Body Text Indent"/>
    <w:basedOn w:val="1"/>
    <w:next w:val="4"/>
    <w:qFormat/>
    <w:uiPriority w:val="99"/>
    <w:pPr>
      <w:ind w:left="420" w:leftChars="200"/>
    </w:pPr>
  </w:style>
  <w:style w:type="paragraph" w:styleId="4">
    <w:name w:val="Subtitle"/>
    <w:basedOn w:val="1"/>
    <w:next w:val="1"/>
    <w:qFormat/>
    <w:uiPriority w:val="99"/>
    <w:pPr>
      <w:wordWrap w:val="0"/>
      <w:spacing w:after="60"/>
      <w:jc w:val="center"/>
    </w:pPr>
    <w:rPr>
      <w:sz w:val="24"/>
    </w:rPr>
  </w:style>
  <w:style w:type="paragraph" w:styleId="5">
    <w:name w:val="Body Text Indent 2"/>
    <w:basedOn w:val="6"/>
    <w:qFormat/>
    <w:uiPriority w:val="99"/>
    <w:pPr>
      <w:ind w:left="420" w:leftChars="200"/>
    </w:pPr>
    <w:rPr>
      <w:szCs w:val="32"/>
    </w:rPr>
  </w:style>
  <w:style w:type="paragraph" w:styleId="6">
    <w:name w:val="Body Text"/>
    <w:basedOn w:val="1"/>
    <w:next w:val="7"/>
    <w:qFormat/>
    <w:uiPriority w:val="0"/>
    <w:pPr>
      <w:spacing w:after="120" w:afterAutospacing="0"/>
    </w:pPr>
  </w:style>
  <w:style w:type="paragraph" w:customStyle="1" w:styleId="7">
    <w:name w:val="正文部分 Char Char Char"/>
    <w:basedOn w:val="6"/>
    <w:next w:val="8"/>
    <w:qFormat/>
    <w:uiPriority w:val="0"/>
    <w:pPr>
      <w:adjustRightInd w:val="0"/>
      <w:spacing w:line="460" w:lineRule="exact"/>
      <w:textAlignment w:val="baseline"/>
    </w:pPr>
    <w:rPr>
      <w:sz w:val="24"/>
    </w:rPr>
  </w:style>
  <w:style w:type="paragraph" w:customStyle="1" w:styleId="8">
    <w:name w:val="章标题"/>
    <w:basedOn w:val="9"/>
    <w:qFormat/>
    <w:uiPriority w:val="0"/>
    <w:pPr>
      <w:spacing w:line="360" w:lineRule="auto"/>
    </w:pPr>
  </w:style>
  <w:style w:type="paragraph" w:styleId="9">
    <w:name w:val="Title"/>
    <w:basedOn w:val="1"/>
    <w:next w:val="1"/>
    <w:qFormat/>
    <w:uiPriority w:val="0"/>
    <w:pPr>
      <w:spacing w:before="240" w:after="60"/>
      <w:jc w:val="center"/>
      <w:outlineLvl w:val="0"/>
    </w:pPr>
    <w:rPr>
      <w:rFonts w:ascii="Cambria" w:hAnsi="Cambria"/>
      <w:b/>
      <w:bCs/>
      <w:kern w:val="0"/>
      <w:sz w:val="32"/>
      <w:szCs w:val="32"/>
    </w:rPr>
  </w:style>
  <w:style w:type="paragraph" w:styleId="10">
    <w:name w:val="Normal Indent"/>
    <w:basedOn w:val="1"/>
    <w:next w:val="6"/>
    <w:qFormat/>
    <w:uiPriority w:val="0"/>
    <w:pPr>
      <w:ind w:firstLine="200" w:firstLineChars="200"/>
    </w:pPr>
    <w:rPr>
      <w:rFonts w:eastAsia="仿宋_GB2312"/>
      <w:sz w:val="30"/>
    </w:rPr>
  </w:style>
  <w:style w:type="paragraph" w:styleId="11">
    <w:name w:val="index 5"/>
    <w:basedOn w:val="1"/>
    <w:next w:val="1"/>
    <w:qFormat/>
    <w:uiPriority w:val="0"/>
    <w:pPr>
      <w:ind w:left="1680" w:firstLine="200" w:firstLineChars="200"/>
    </w:pPr>
    <w:rPr>
      <w:rFonts w:ascii="楷体_GB2312" w:eastAsia="楷体_GB2312"/>
    </w:rPr>
  </w:style>
  <w:style w:type="paragraph" w:styleId="12">
    <w:name w:val="footer"/>
    <w:basedOn w:val="1"/>
    <w:qFormat/>
    <w:uiPriority w:val="0"/>
    <w:pPr>
      <w:tabs>
        <w:tab w:val="center" w:pos="4153"/>
        <w:tab w:val="right" w:pos="8306"/>
      </w:tabs>
      <w:snapToGrid w:val="0"/>
      <w:jc w:val="left"/>
    </w:pPr>
    <w:rPr>
      <w:sz w:val="18"/>
    </w:rPr>
  </w:style>
  <w:style w:type="paragraph" w:styleId="1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14">
    <w:name w:val="Normal (Web)"/>
    <w:basedOn w:val="1"/>
    <w:qFormat/>
    <w:uiPriority w:val="0"/>
    <w:pPr>
      <w:spacing w:before="100" w:beforeAutospacing="1" w:after="100" w:afterAutospacing="1"/>
      <w:ind w:left="0" w:right="0"/>
      <w:jc w:val="left"/>
    </w:pPr>
    <w:rPr>
      <w:kern w:val="0"/>
      <w:sz w:val="24"/>
      <w:lang w:val="en-US" w:eastAsia="zh-CN" w:bidi="ar-SA"/>
    </w:rPr>
  </w:style>
  <w:style w:type="paragraph" w:customStyle="1" w:styleId="17">
    <w:name w:val="toa heading1"/>
    <w:basedOn w:val="1"/>
    <w:next w:val="1"/>
    <w:qFormat/>
    <w:uiPriority w:val="0"/>
    <w:pPr>
      <w:spacing w:before="120" w:beforeLines="0"/>
    </w:pPr>
    <w:rPr>
      <w:rFonts w:ascii="Cambria" w:hAnsi="Cambria" w:eastAsia="宋体" w:cs="Times New Roman"/>
      <w:sz w:val="24"/>
    </w:rPr>
  </w:style>
  <w:style w:type="paragraph" w:customStyle="1" w:styleId="18">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无间隔1"/>
    <w:basedOn w:val="1"/>
    <w:qFormat/>
    <w:uiPriority w:val="0"/>
    <w:rPr>
      <w:rFonts w:ascii="宋体" w:hAnsi="宋体" w:eastAsia="仿宋_GB2312"/>
      <w:sz w:val="32"/>
      <w:szCs w:val="32"/>
    </w:rPr>
  </w:style>
  <w:style w:type="paragraph" w:customStyle="1" w:styleId="20">
    <w:name w:val="纯文本1"/>
    <w:basedOn w:val="1"/>
    <w:qFormat/>
    <w:uiPriority w:val="0"/>
    <w:rPr>
      <w:rFonts w:ascii="宋体" w:cs="Courier New"/>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7</Pages>
  <Words>100</Words>
  <Characters>570</Characters>
  <Lines>4</Lines>
  <Paragraphs>1</Paragraphs>
  <TotalTime>3</TotalTime>
  <ScaleCrop>false</ScaleCrop>
  <LinksUpToDate>false</LinksUpToDate>
  <CharactersWithSpaces>669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CMGE-PC</cp:lastModifiedBy>
  <cp:lastPrinted>2025-05-30T07:11:00Z</cp:lastPrinted>
  <dcterms:modified xsi:type="dcterms:W3CDTF">2026-05-12T06:51:49Z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96934721B1514D3FBAA28020338CE855_12</vt:lpwstr>
  </property>
</Properties>
</file>