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附件4</w:t>
      </w:r>
    </w:p>
    <w:p w14:paraId="0658804C">
      <w:pPr>
        <w:spacing w:line="560" w:lineRule="exact"/>
        <w:jc w:val="center"/>
        <w:rPr>
          <w:rFonts w:ascii="宋体" w:hAnsi="宋体" w:cs="宋体"/>
          <w:b/>
          <w:bCs/>
          <w:sz w:val="44"/>
          <w:szCs w:val="44"/>
        </w:rPr>
      </w:pPr>
    </w:p>
    <w:p w14:paraId="3F922C2D">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联盟街道办事处</w:t>
      </w:r>
    </w:p>
    <w:p w14:paraId="71578970">
      <w:pPr>
        <w:spacing w:line="560" w:lineRule="exact"/>
        <w:ind w:firstLine="883" w:firstLineChars="200"/>
        <w:jc w:val="center"/>
        <w:rPr>
          <w:rFonts w:ascii="宋体" w:hAnsi="宋体" w:cs="宋体"/>
          <w:b/>
          <w:bCs/>
          <w:sz w:val="44"/>
          <w:szCs w:val="44"/>
        </w:rPr>
      </w:pPr>
      <w:r>
        <w:rPr>
          <w:rFonts w:hint="eastAsia" w:ascii="宋体" w:hAnsi="宋体" w:cs="宋体"/>
          <w:b/>
          <w:bCs/>
          <w:sz w:val="44"/>
          <w:szCs w:val="44"/>
        </w:rPr>
        <w:t>2025年度整体支出绩效自评报告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贯彻落实区委区政府《关于全面落实预算绩效管理的实施意见》（新华发〔2019〕9号）文件精神，遵循“科学性、规范性、客观性和公正性”的原则，对</w:t>
      </w:r>
      <w:r>
        <w:rPr>
          <w:rFonts w:hint="eastAsia" w:ascii="仿宋" w:hAnsi="仿宋" w:eastAsia="仿宋"/>
          <w:sz w:val="32"/>
          <w:szCs w:val="32"/>
          <w:lang w:val="en-US" w:eastAsia="zh-CN"/>
        </w:rPr>
        <w:t>联盟街道办事处</w:t>
      </w:r>
      <w:r>
        <w:rPr>
          <w:rFonts w:hint="eastAsia" w:ascii="仿宋" w:hAnsi="仿宋" w:eastAsia="仿宋"/>
          <w:sz w:val="32"/>
          <w:szCs w:val="32"/>
        </w:rPr>
        <w:t>部门2025年整体支出情况实施了财政支出绩效自评价，形成本评价报告。</w:t>
      </w:r>
    </w:p>
    <w:p w14:paraId="104816EB">
      <w:pPr>
        <w:adjustRightInd w:val="0"/>
        <w:snapToGrid w:val="0"/>
        <w:spacing w:line="560" w:lineRule="exact"/>
        <w:ind w:firstLine="640" w:firstLineChars="200"/>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AAC060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宣传党的路线、方针、政策和国家的法律、法规，对辖区居民进行思想政治教育、社会主义与法制教育和爱国主义教育。</w:t>
      </w:r>
    </w:p>
    <w:p w14:paraId="17EB99B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指导、帮助社区居委会开展组织建设和制度建设，帮助解决实际困难和问题，加强对居委会干部队伍的建设和管理，协调辖区单位搞好社区党建，精神文明建设，形成同创共建的大好局面。</w:t>
      </w:r>
    </w:p>
    <w:p w14:paraId="025E84C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制定和实施社会治安综合治理规划，建立健全联防机制和网络，做好群防群治工作，协调辖区单位落实防控达标，搞好人民调解、法律宣传、法律服务、重点人员的帮教，维护辖区社会稳定。</w:t>
      </w:r>
    </w:p>
    <w:p w14:paraId="0A1100C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开展社区文化教育和群众性体育活动，发动社会力量创办社区各项公益事业，丰富居民的文化生活。</w:t>
      </w:r>
    </w:p>
    <w:p w14:paraId="5508EE9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弘扬中华民族优良传统，维护老人、妇女、未成年人和残疾人合法权益。协助有关部门搞好离退休人员的管理和劳动力资源的配置及下岗人员的就业工作。</w:t>
      </w:r>
    </w:p>
    <w:p w14:paraId="7409BCF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广泛开展爱国卫生运动，巩固创建文明城市，不断提高辖区的市容卫生、环境保护和绿化美化水平。</w:t>
      </w:r>
    </w:p>
    <w:p w14:paraId="73BBCE4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兴办社区服务中心，建立社区服务网格和社区服务志愿者队伍，开展便民利民系列服务活动，拓宽社区服务领域，提高社区服务的产业化进程，实现社会效益和经济</w:t>
      </w:r>
      <w:r>
        <w:rPr>
          <w:rFonts w:hint="eastAsia" w:ascii="仿宋_GB2312" w:hAnsi="仿宋_GB2312" w:eastAsia="仿宋_GB2312" w:cs="仿宋_GB2312"/>
          <w:sz w:val="32"/>
          <w:szCs w:val="32"/>
          <w:lang w:val="en-US" w:eastAsia="zh-CN"/>
        </w:rPr>
        <w:t>效</w:t>
      </w:r>
      <w:r>
        <w:rPr>
          <w:rFonts w:hint="eastAsia" w:ascii="仿宋_GB2312" w:hAnsi="仿宋_GB2312" w:eastAsia="仿宋_GB2312" w:cs="仿宋_GB2312"/>
          <w:sz w:val="32"/>
          <w:szCs w:val="32"/>
        </w:rPr>
        <w:t>益的双丰收。</w:t>
      </w:r>
    </w:p>
    <w:p w14:paraId="0C5675C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做好社会救济，拥军优属工作，发展社会福利事业。</w:t>
      </w:r>
    </w:p>
    <w:p w14:paraId="2B711A7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加强计划生育的规范化、法制化管理，搞好计划生育服务工作，实行人口目标管理，特别是搞好流动人口的计划生育工作。</w:t>
      </w:r>
    </w:p>
    <w:p w14:paraId="2DA5929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积极参与城区建设和管理，协助有关部门对市政公共设施的建设和使用进行管理监督，改善居民的生活条件。</w:t>
      </w:r>
    </w:p>
    <w:p w14:paraId="45AF923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加强国防教育，配合有关部门做好征兵、民兵预备役工作，做好防汛、防火、防震等抢险救灾工作。</w:t>
      </w:r>
    </w:p>
    <w:p w14:paraId="585386C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向区政府反应居民群众的意见和要求，做好人大、政协工作，办理人民群众的来信来访事项。</w:t>
      </w:r>
    </w:p>
    <w:p w14:paraId="561CB77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 w:hAnsi="仿宋" w:eastAsia="仿宋" w:cs="仿宋"/>
          <w:b w:val="0"/>
          <w:bCs/>
          <w:color w:val="000000"/>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办理区委、区政府交办的其它事项。</w:t>
      </w:r>
    </w:p>
    <w:p w14:paraId="721DD466">
      <w:pPr>
        <w:ind w:firstLine="643" w:firstLineChars="200"/>
        <w:rPr>
          <w:rFonts w:hint="eastAsia" w:ascii="仿宋" w:hAnsi="仿宋" w:eastAsia="仿宋" w:cs="仿宋"/>
          <w:b/>
          <w:bCs w:val="0"/>
          <w:color w:val="000000"/>
          <w:sz w:val="32"/>
          <w:szCs w:val="32"/>
        </w:rPr>
      </w:pPr>
    </w:p>
    <w:p w14:paraId="00DF5B83">
      <w:pPr>
        <w:ind w:firstLine="643" w:firstLineChars="200"/>
        <w:rPr>
          <w:rFonts w:hint="eastAsia" w:ascii="仿宋" w:hAnsi="仿宋" w:eastAsia="仿宋" w:cs="仿宋"/>
          <w:b/>
          <w:bCs w:val="0"/>
          <w:color w:val="000000"/>
          <w:sz w:val="32"/>
          <w:szCs w:val="32"/>
        </w:rPr>
      </w:pPr>
    </w:p>
    <w:p w14:paraId="40F3418F">
      <w:pPr>
        <w:ind w:firstLine="643" w:firstLineChars="200"/>
        <w:rPr>
          <w:rFonts w:hint="eastAsia" w:ascii="仿宋" w:hAnsi="仿宋" w:eastAsia="仿宋" w:cs="仿宋"/>
          <w:b/>
          <w:bCs w:val="0"/>
          <w:color w:val="000000"/>
          <w:sz w:val="32"/>
          <w:szCs w:val="32"/>
        </w:rPr>
      </w:pPr>
    </w:p>
    <w:p w14:paraId="1EAE7C07">
      <w:pPr>
        <w:ind w:firstLine="643" w:firstLineChars="200"/>
        <w:rPr>
          <w:rFonts w:hint="eastAsia" w:ascii="仿宋" w:hAnsi="仿宋" w:eastAsia="仿宋" w:cs="仿宋"/>
          <w:b/>
          <w:bCs w:val="0"/>
          <w:color w:val="000000"/>
          <w:sz w:val="32"/>
          <w:szCs w:val="32"/>
        </w:rPr>
      </w:pPr>
    </w:p>
    <w:p w14:paraId="310956FA">
      <w:pPr>
        <w:ind w:firstLine="643" w:firstLineChars="200"/>
        <w:rPr>
          <w:rFonts w:hint="eastAsia" w:ascii="方正小标宋简体" w:hAnsi="方正小标宋简体" w:eastAsia="方正小标宋简体" w:cs="方正小标宋简体"/>
          <w:sz w:val="32"/>
          <w:lang w:eastAsia="zh-CN"/>
        </w:rPr>
      </w:pPr>
      <w:r>
        <w:rPr>
          <w:rFonts w:hint="eastAsia" w:ascii="仿宋" w:hAnsi="仿宋" w:eastAsia="仿宋" w:cs="仿宋"/>
          <w:b/>
          <w:bCs w:val="0"/>
          <w:color w:val="000000"/>
          <w:sz w:val="32"/>
          <w:szCs w:val="32"/>
        </w:rPr>
        <w:t>部门机构情况</w:t>
      </w:r>
      <w:r>
        <w:rPr>
          <w:rFonts w:hint="eastAsia" w:ascii="仿宋" w:hAnsi="仿宋" w:eastAsia="仿宋" w:cs="仿宋"/>
          <w:b/>
          <w:bCs w:val="0"/>
          <w:color w:val="000000"/>
          <w:sz w:val="32"/>
          <w:szCs w:val="32"/>
          <w:lang w:eastAsia="zh-CN"/>
        </w:rPr>
        <w:t>：</w:t>
      </w:r>
    </w:p>
    <w:p w14:paraId="3839A71A">
      <w:pPr>
        <w:snapToGrid w:val="0"/>
        <w:spacing w:line="520" w:lineRule="exact"/>
        <w:ind w:firstLine="640" w:firstLineChars="200"/>
        <w:jc w:val="center"/>
        <w:rPr>
          <w:rFonts w:hint="eastAsia" w:ascii="方正小标宋简体" w:hAnsi="方正小标宋简体" w:eastAsia="方正小标宋简体" w:cs="方正小标宋简体"/>
          <w:sz w:val="32"/>
        </w:rPr>
      </w:pPr>
      <w:r>
        <w:rPr>
          <w:rFonts w:hint="eastAsia" w:ascii="方正小标宋简体" w:hAnsi="方正小标宋简体" w:eastAsia="方正小标宋简体" w:cs="方正小标宋简体"/>
          <w:sz w:val="32"/>
        </w:rPr>
        <w:t>部门机构设置情况</w:t>
      </w:r>
    </w:p>
    <w:tbl>
      <w:tblPr>
        <w:tblStyle w:val="4"/>
        <w:tblW w:w="97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460"/>
        <w:gridCol w:w="1140"/>
        <w:gridCol w:w="1260"/>
        <w:gridCol w:w="2920"/>
      </w:tblGrid>
      <w:tr w14:paraId="4B935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4460" w:type="dxa"/>
            <w:vAlign w:val="center"/>
          </w:tcPr>
          <w:p w14:paraId="64B348CF">
            <w:pPr>
              <w:widowControl w:val="0"/>
              <w:wordWrap/>
              <w:snapToGrid/>
              <w:spacing w:line="0" w:lineRule="atLeast"/>
              <w:ind w:left="1800"/>
              <w:jc w:val="both"/>
              <w:textAlignment w:val="auto"/>
              <w:rPr>
                <w:rFonts w:ascii="宋体" w:hAnsi="宋体"/>
                <w:b/>
              </w:rPr>
            </w:pPr>
            <w:r>
              <w:rPr>
                <w:rFonts w:ascii="宋体" w:hAnsi="宋体"/>
                <w:b/>
              </w:rPr>
              <w:t>单位名称</w:t>
            </w:r>
          </w:p>
        </w:tc>
        <w:tc>
          <w:tcPr>
            <w:tcW w:w="1140" w:type="dxa"/>
            <w:vAlign w:val="center"/>
          </w:tcPr>
          <w:p w14:paraId="4E2CFD1C">
            <w:pPr>
              <w:widowControl w:val="0"/>
              <w:wordWrap/>
              <w:snapToGrid/>
              <w:spacing w:line="0" w:lineRule="atLeast"/>
              <w:ind w:left="120"/>
              <w:jc w:val="both"/>
              <w:textAlignment w:val="auto"/>
              <w:rPr>
                <w:rFonts w:ascii="宋体" w:hAnsi="宋体"/>
                <w:b/>
              </w:rPr>
            </w:pPr>
            <w:r>
              <w:rPr>
                <w:rFonts w:ascii="宋体" w:hAnsi="宋体"/>
                <w:b/>
              </w:rPr>
              <w:t>单位性质</w:t>
            </w:r>
          </w:p>
        </w:tc>
        <w:tc>
          <w:tcPr>
            <w:tcW w:w="1260" w:type="dxa"/>
            <w:vAlign w:val="center"/>
          </w:tcPr>
          <w:p w14:paraId="6FE158F2">
            <w:pPr>
              <w:widowControl w:val="0"/>
              <w:wordWrap/>
              <w:snapToGrid/>
              <w:spacing w:line="0" w:lineRule="atLeast"/>
              <w:ind w:left="200"/>
              <w:jc w:val="both"/>
              <w:textAlignment w:val="auto"/>
              <w:rPr>
                <w:rFonts w:ascii="宋体" w:hAnsi="宋体"/>
                <w:b/>
              </w:rPr>
            </w:pPr>
            <w:r>
              <w:rPr>
                <w:rFonts w:ascii="宋体" w:hAnsi="宋体"/>
                <w:b/>
              </w:rPr>
              <w:t>单位规格</w:t>
            </w:r>
          </w:p>
        </w:tc>
        <w:tc>
          <w:tcPr>
            <w:tcW w:w="2920" w:type="dxa"/>
            <w:vAlign w:val="center"/>
          </w:tcPr>
          <w:p w14:paraId="52B3671C">
            <w:pPr>
              <w:widowControl w:val="0"/>
              <w:wordWrap/>
              <w:snapToGrid/>
              <w:spacing w:line="0" w:lineRule="atLeast"/>
              <w:ind w:left="820"/>
              <w:jc w:val="both"/>
              <w:textAlignment w:val="auto"/>
              <w:rPr>
                <w:rFonts w:ascii="宋体" w:hAnsi="宋体"/>
                <w:b/>
              </w:rPr>
            </w:pPr>
            <w:r>
              <w:rPr>
                <w:rFonts w:ascii="宋体" w:hAnsi="宋体"/>
                <w:b/>
              </w:rPr>
              <w:t>经费保障形式</w:t>
            </w:r>
          </w:p>
        </w:tc>
      </w:tr>
      <w:tr w14:paraId="6988B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4460" w:type="dxa"/>
            <w:vAlign w:val="center"/>
          </w:tcPr>
          <w:p w14:paraId="7D705FAA">
            <w:pPr>
              <w:widowControl w:val="0"/>
              <w:wordWrap/>
              <w:snapToGrid/>
              <w:spacing w:line="0" w:lineRule="atLeast"/>
              <w:ind w:left="100"/>
              <w:jc w:val="both"/>
              <w:textAlignment w:val="auto"/>
              <w:rPr>
                <w:rFonts w:ascii="宋体" w:hAnsi="宋体" w:eastAsia="宋体"/>
              </w:rPr>
            </w:pPr>
            <w:r>
              <w:rPr>
                <w:rFonts w:hint="eastAsia" w:ascii="宋体" w:hAnsi="宋体"/>
              </w:rPr>
              <w:t>新华区</w:t>
            </w:r>
            <w:r>
              <w:rPr>
                <w:rFonts w:hint="eastAsia" w:ascii="宋体" w:hAnsi="宋体"/>
                <w:lang w:eastAsia="zh-CN"/>
              </w:rPr>
              <w:t>人民政府联盟</w:t>
            </w:r>
            <w:r>
              <w:rPr>
                <w:rFonts w:hint="eastAsia" w:ascii="宋体" w:hAnsi="宋体"/>
              </w:rPr>
              <w:t>街道办事处</w:t>
            </w:r>
          </w:p>
        </w:tc>
        <w:tc>
          <w:tcPr>
            <w:tcW w:w="1140" w:type="dxa"/>
            <w:vAlign w:val="center"/>
          </w:tcPr>
          <w:p w14:paraId="6249C138">
            <w:pPr>
              <w:widowControl w:val="0"/>
              <w:wordWrap/>
              <w:snapToGrid/>
              <w:spacing w:line="0" w:lineRule="atLeast"/>
              <w:ind w:left="100"/>
              <w:jc w:val="both"/>
              <w:textAlignment w:val="auto"/>
              <w:rPr>
                <w:rFonts w:ascii="宋体" w:hAnsi="宋体"/>
              </w:rPr>
            </w:pPr>
            <w:r>
              <w:rPr>
                <w:rFonts w:ascii="宋体" w:hAnsi="宋体"/>
              </w:rPr>
              <w:t>行政</w:t>
            </w:r>
          </w:p>
        </w:tc>
        <w:tc>
          <w:tcPr>
            <w:tcW w:w="1260" w:type="dxa"/>
            <w:vAlign w:val="center"/>
          </w:tcPr>
          <w:p w14:paraId="0F81EE65">
            <w:pPr>
              <w:widowControl w:val="0"/>
              <w:wordWrap/>
              <w:snapToGrid/>
              <w:spacing w:line="0" w:lineRule="atLeast"/>
              <w:ind w:left="80"/>
              <w:jc w:val="both"/>
              <w:textAlignment w:val="auto"/>
              <w:rPr>
                <w:rFonts w:ascii="宋体" w:hAnsi="宋体"/>
              </w:rPr>
            </w:pPr>
            <w:r>
              <w:rPr>
                <w:rFonts w:ascii="宋体" w:hAnsi="宋体"/>
              </w:rPr>
              <w:t>正</w:t>
            </w:r>
            <w:r>
              <w:rPr>
                <w:rFonts w:hint="eastAsia" w:ascii="宋体" w:hAnsi="宋体"/>
              </w:rPr>
              <w:t>科</w:t>
            </w:r>
            <w:r>
              <w:rPr>
                <w:rFonts w:ascii="宋体" w:hAnsi="宋体"/>
              </w:rPr>
              <w:t>级</w:t>
            </w:r>
          </w:p>
        </w:tc>
        <w:tc>
          <w:tcPr>
            <w:tcW w:w="2920" w:type="dxa"/>
            <w:vAlign w:val="center"/>
          </w:tcPr>
          <w:p w14:paraId="6E95D719">
            <w:pPr>
              <w:widowControl w:val="0"/>
              <w:wordWrap/>
              <w:snapToGrid/>
              <w:spacing w:line="0" w:lineRule="atLeast"/>
              <w:ind w:left="100"/>
              <w:jc w:val="both"/>
              <w:textAlignment w:val="auto"/>
              <w:rPr>
                <w:rFonts w:ascii="宋体" w:hAnsi="宋体"/>
              </w:rPr>
            </w:pPr>
            <w:r>
              <w:rPr>
                <w:rFonts w:ascii="宋体" w:hAnsi="宋体"/>
              </w:rPr>
              <w:t>财政拨款</w:t>
            </w:r>
          </w:p>
        </w:tc>
      </w:tr>
    </w:tbl>
    <w:p w14:paraId="2FAFCACD">
      <w:pPr>
        <w:numPr>
          <w:ilvl w:val="0"/>
          <w:numId w:val="0"/>
        </w:numPr>
        <w:snapToGrid w:val="0"/>
        <w:spacing w:line="520" w:lineRule="exact"/>
        <w:ind w:firstLine="643" w:firstLineChars="200"/>
        <w:rPr>
          <w:rFonts w:hint="eastAsia" w:ascii="仿宋" w:hAnsi="仿宋" w:eastAsia="仿宋" w:cs="仿宋"/>
          <w:b/>
          <w:bCs/>
          <w:sz w:val="32"/>
          <w:szCs w:val="32"/>
          <w:lang w:eastAsia="zh-CN"/>
        </w:rPr>
      </w:pPr>
      <w:r>
        <w:rPr>
          <w:rFonts w:hint="eastAsia" w:ascii="仿宋" w:hAnsi="仿宋" w:eastAsia="仿宋" w:cs="仿宋"/>
          <w:b/>
          <w:bCs/>
          <w:sz w:val="32"/>
          <w:szCs w:val="32"/>
        </w:rPr>
        <w:t>人员情况</w:t>
      </w:r>
      <w:r>
        <w:rPr>
          <w:rFonts w:hint="eastAsia" w:ascii="仿宋" w:hAnsi="仿宋" w:eastAsia="仿宋" w:cs="仿宋"/>
          <w:b/>
          <w:bCs/>
          <w:sz w:val="32"/>
          <w:szCs w:val="32"/>
          <w:lang w:eastAsia="zh-CN"/>
        </w:rPr>
        <w:t>：</w:t>
      </w:r>
    </w:p>
    <w:p w14:paraId="5ECAA4D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right="0" w:rightChars="0" w:firstLine="640" w:firstLineChars="200"/>
        <w:jc w:val="both"/>
        <w:textAlignment w:val="auto"/>
        <w:outlineLvl w:val="9"/>
        <w:rPr>
          <w:rFonts w:hint="eastAsia" w:ascii="楷体" w:hAnsi="楷体" w:eastAsia="楷体" w:cs="楷体_GB2312"/>
          <w:bCs/>
          <w:sz w:val="32"/>
          <w:szCs w:val="32"/>
        </w:rPr>
      </w:pPr>
      <w:r>
        <w:rPr>
          <w:rFonts w:hint="eastAsia" w:ascii="仿宋" w:hAnsi="仿宋" w:eastAsia="仿宋" w:cs="仿宋"/>
          <w:sz w:val="32"/>
          <w:szCs w:val="32"/>
          <w:lang w:val="en-US" w:eastAsia="zh-CN"/>
        </w:rPr>
        <w:t>联盟街道办事处2025年单位总人数为134人，其中：公务员25人</w:t>
      </w:r>
      <w:r>
        <w:rPr>
          <w:rFonts w:hint="eastAsia" w:ascii="仿宋" w:hAnsi="仿宋" w:eastAsia="仿宋" w:cs="仿宋"/>
          <w:sz w:val="32"/>
          <w:szCs w:val="32"/>
          <w:highlight w:val="none"/>
          <w:lang w:val="en-US" w:eastAsia="zh-CN"/>
        </w:rPr>
        <w:t>，参照公务员法管理事业人员11人，非参公事业人员30人，机关和事业工人2人，其他人员66人</w:t>
      </w:r>
      <w:bookmarkStart w:id="0" w:name="_GoBack"/>
      <w:bookmarkEnd w:id="0"/>
      <w:r>
        <w:rPr>
          <w:rFonts w:hint="eastAsia" w:ascii="仿宋" w:hAnsi="仿宋" w:eastAsia="仿宋" w:cs="仿宋"/>
          <w:sz w:val="32"/>
          <w:szCs w:val="32"/>
          <w:highlight w:val="none"/>
          <w:lang w:val="en-US" w:eastAsia="zh-CN"/>
        </w:rPr>
        <w:t>。</w:t>
      </w:r>
    </w:p>
    <w:p w14:paraId="21AC68A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3C272048">
      <w:pPr>
        <w:numPr>
          <w:ilvl w:val="0"/>
          <w:numId w:val="0"/>
        </w:numPr>
        <w:adjustRightInd w:val="0"/>
        <w:snapToGrid w:val="0"/>
        <w:spacing w:line="560" w:lineRule="exact"/>
        <w:ind w:firstLine="640" w:firstLineChars="200"/>
        <w:rPr>
          <w:rFonts w:hint="default"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 xml:space="preserve">   </w:t>
      </w:r>
      <w:r>
        <w:rPr>
          <w:rFonts w:hint="eastAsia" w:ascii="仿宋" w:hAnsi="仿宋" w:eastAsia="仿宋" w:cs="仿宋"/>
          <w:b w:val="0"/>
          <w:bCs/>
          <w:sz w:val="32"/>
          <w:szCs w:val="32"/>
          <w:lang w:val="en-US" w:eastAsia="zh-CN"/>
        </w:rPr>
        <w:t>2025年年初收入预算2253.472</w:t>
      </w:r>
      <w:r>
        <w:rPr>
          <w:rFonts w:hint="eastAsia" w:ascii="仿宋" w:hAnsi="仿宋" w:eastAsia="仿宋" w:cs="仿宋"/>
          <w:b w:val="0"/>
          <w:bCs/>
          <w:sz w:val="32"/>
          <w:szCs w:val="32"/>
          <w:highlight w:val="none"/>
          <w:lang w:val="en-US" w:eastAsia="zh-CN"/>
        </w:rPr>
        <w:t>万元，支出预算2253.472万元。决算收入、支出为2342.597</w:t>
      </w:r>
      <w:r>
        <w:rPr>
          <w:rFonts w:hint="eastAsia" w:ascii="仿宋" w:hAnsi="仿宋" w:eastAsia="仿宋" w:cs="仿宋"/>
          <w:sz w:val="32"/>
          <w:szCs w:val="32"/>
          <w:highlight w:val="none"/>
          <w:lang w:val="en-US" w:eastAsia="zh-CN"/>
        </w:rPr>
        <w:t>万元。</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517354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color w:val="auto"/>
          <w:spacing w:val="0"/>
          <w:position w:val="0"/>
          <w:sz w:val="32"/>
          <w:szCs w:val="32"/>
          <w:shd w:val="clear" w:fill="auto"/>
          <w:lang w:val="en-US" w:eastAsia="zh-CN"/>
        </w:rPr>
        <w:t>1.</w:t>
      </w:r>
      <w:r>
        <w:rPr>
          <w:rFonts w:hint="eastAsia" w:ascii="仿宋" w:hAnsi="仿宋" w:eastAsia="仿宋" w:cs="仿宋"/>
          <w:color w:val="auto"/>
          <w:spacing w:val="0"/>
          <w:position w:val="0"/>
          <w:sz w:val="32"/>
          <w:szCs w:val="32"/>
          <w:shd w:val="clear" w:fill="auto"/>
        </w:rPr>
        <w:t>党政综合事务管理</w:t>
      </w:r>
    </w:p>
    <w:p w14:paraId="28A954F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color w:val="auto"/>
          <w:spacing w:val="0"/>
          <w:position w:val="0"/>
          <w:sz w:val="32"/>
          <w:szCs w:val="32"/>
          <w:shd w:val="clear" w:fill="auto"/>
        </w:rPr>
        <w:t>绩效目标：组织开展教育学习和先进党支部、优秀党员的活动，提升优秀党支部、党员的比率。督促机关各部门对街道落实的事项和领导批示、要求的执行落实情况。</w:t>
      </w:r>
    </w:p>
    <w:p w14:paraId="4D9ACDD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color w:val="auto"/>
          <w:spacing w:val="0"/>
          <w:position w:val="0"/>
          <w:sz w:val="32"/>
          <w:szCs w:val="32"/>
          <w:shd w:val="clear" w:fill="auto"/>
        </w:rPr>
        <w:t>绩效指标：组织开展教育学习和先进党支部、优秀党员的活动，使党支部、党员的达优秀比率在75%以上。通过开展定期不定期对街道各部门工作落实情况的检查使街道各部门落实事项的完成率达到85%以上。</w:t>
      </w:r>
    </w:p>
    <w:p w14:paraId="043D26C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color w:val="auto"/>
          <w:spacing w:val="0"/>
          <w:position w:val="0"/>
          <w:sz w:val="32"/>
          <w:szCs w:val="32"/>
          <w:shd w:val="clear" w:fill="auto"/>
          <w:lang w:val="en-US" w:eastAsia="zh-CN"/>
        </w:rPr>
        <w:t>2.</w:t>
      </w:r>
      <w:r>
        <w:rPr>
          <w:rFonts w:hint="eastAsia" w:ascii="仿宋" w:hAnsi="仿宋" w:eastAsia="仿宋" w:cs="仿宋"/>
          <w:color w:val="auto"/>
          <w:spacing w:val="0"/>
          <w:position w:val="0"/>
          <w:sz w:val="32"/>
          <w:szCs w:val="32"/>
          <w:shd w:val="clear" w:fill="auto"/>
        </w:rPr>
        <w:t>社会保障事务管理</w:t>
      </w:r>
    </w:p>
    <w:p w14:paraId="7778273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color w:val="auto"/>
          <w:spacing w:val="0"/>
          <w:position w:val="0"/>
          <w:sz w:val="32"/>
          <w:szCs w:val="32"/>
          <w:shd w:val="clear" w:fill="auto"/>
        </w:rPr>
        <w:t>绩效目标：提供低保相关人员信息，核实低保户准确信息，并上报区民政局。做到应保尽保、应退尽退。做好廉租房政策的宣传发动、申请、调查、申报及补贴发放工作。</w:t>
      </w:r>
    </w:p>
    <w:p w14:paraId="11018C4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color w:val="auto"/>
          <w:spacing w:val="0"/>
          <w:position w:val="0"/>
          <w:sz w:val="32"/>
          <w:szCs w:val="32"/>
          <w:shd w:val="clear" w:fill="auto"/>
        </w:rPr>
        <w:t>绩效指标：对发现符合条件的对象及时进行信息核准并上报区民政局，提升符合条件对象被纳入低保范围的比率，城乡居民低保保障率达80%以上。通过张贴公告、网络平台宣传廉租房政策，使得提出申请并符合条件被纳入保障范围内的比率提高，从而使城镇廉租住房保障率达80%以上。</w:t>
      </w:r>
    </w:p>
    <w:p w14:paraId="37A0F6A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color w:val="auto"/>
          <w:spacing w:val="0"/>
          <w:position w:val="0"/>
          <w:sz w:val="32"/>
          <w:szCs w:val="32"/>
          <w:shd w:val="clear" w:fill="auto"/>
          <w:lang w:val="en-US" w:eastAsia="zh-CN"/>
        </w:rPr>
        <w:t>3.</w:t>
      </w:r>
      <w:r>
        <w:rPr>
          <w:rFonts w:hint="eastAsia" w:ascii="仿宋" w:hAnsi="仿宋" w:eastAsia="仿宋" w:cs="仿宋"/>
          <w:color w:val="auto"/>
          <w:spacing w:val="0"/>
          <w:position w:val="0"/>
          <w:sz w:val="32"/>
          <w:szCs w:val="32"/>
          <w:shd w:val="clear" w:fill="auto"/>
        </w:rPr>
        <w:t>城市管理</w:t>
      </w:r>
    </w:p>
    <w:p w14:paraId="4199ACB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color w:val="auto"/>
          <w:spacing w:val="0"/>
          <w:position w:val="0"/>
          <w:sz w:val="32"/>
          <w:szCs w:val="32"/>
          <w:shd w:val="clear" w:fill="auto"/>
        </w:rPr>
        <w:t>绩效目标：辖区各小区内街巷周边道路全天保持干净整洁，生活垃圾及建筑垃圾实现及时清运，不留死角。做好清理违章建筑、违章堆放等问题，严格控制出现新违章搭建。开展文明礼仪和爱卫教育活动，组织文明礼仪和卫生健康知识宣讲，进行爱卫宣传，提升居民自身素质，保障居民的健康；定期对小区进行消杀，防治病媒传播；老旧小区进行包装改造、绿化、提升，打造成优美、整洁、舒适、宜居的生活环境；对已打造好的小区等公共设施进行维护，保持美丽常驻。在抓好散乱污企业清理、散煤清零、油烟治理等工作的基础上，做好涉及到大气污染防治的所有工作，争取使街道环保工作形成横向到边、纵向到底的长效管理。</w:t>
      </w:r>
    </w:p>
    <w:p w14:paraId="1098C33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color w:val="auto"/>
          <w:spacing w:val="0"/>
          <w:position w:val="0"/>
          <w:sz w:val="32"/>
          <w:szCs w:val="32"/>
          <w:shd w:val="clear" w:fill="auto"/>
        </w:rPr>
        <w:t>绩效指标：开展环境卫生“精细化”清扫保洁，坚持全天候清扫，垃圾实行全程密闭运输和动态全天候清运，使辖区各小区内街巷，垃圾点、站干净整洁度达到75%以上。联合综合执法部门组织开展辖区违章搭建整治活动，周密部署，制定详细拆除方案，使清理违章建筑、违章堆放等问题的完成率达80%以上。通过开展文明礼仪和爱卫宣传活动来提高居民的素质和疾病防控意识；对老旧小区进行改造、提升，改善卫生、人文环境，提高辖区居民的幸福指数和健康水平，使居民的满意度达80%以上。加大宣传和“示范区”管控力度，在辖区内开展不间断、拉网式排查散乱污企业、散煤，做到发现一处取缔一处，清理一处。</w:t>
      </w:r>
    </w:p>
    <w:p w14:paraId="463B2AE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color w:val="auto"/>
          <w:spacing w:val="0"/>
          <w:position w:val="0"/>
          <w:sz w:val="32"/>
          <w:szCs w:val="32"/>
          <w:shd w:val="clear" w:fill="auto"/>
          <w:lang w:val="en-US" w:eastAsia="zh-CN"/>
        </w:rPr>
        <w:t>4.</w:t>
      </w:r>
      <w:r>
        <w:rPr>
          <w:rFonts w:hint="eastAsia" w:ascii="仿宋" w:hAnsi="仿宋" w:eastAsia="仿宋" w:cs="仿宋"/>
          <w:color w:val="auto"/>
          <w:spacing w:val="0"/>
          <w:position w:val="0"/>
          <w:sz w:val="32"/>
          <w:szCs w:val="32"/>
          <w:shd w:val="clear" w:fill="auto"/>
        </w:rPr>
        <w:t> 综合事务</w:t>
      </w:r>
    </w:p>
    <w:p w14:paraId="0CA03ED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color w:val="auto"/>
          <w:spacing w:val="0"/>
          <w:position w:val="0"/>
          <w:sz w:val="32"/>
          <w:szCs w:val="32"/>
          <w:shd w:val="clear" w:fill="auto"/>
        </w:rPr>
        <w:t>绩效目标：定期组织社区开展安全生产培训、宣传教育活动，提高辖区居民安全防范意识；加强监督检查，建立安全生产台账，并对周边商铺门店进行日常巡查，对发现</w:t>
      </w:r>
      <w:r>
        <w:rPr>
          <w:rFonts w:hint="eastAsia" w:ascii="仿宋" w:hAnsi="仿宋" w:eastAsia="仿宋" w:cs="仿宋"/>
          <w:color w:val="auto"/>
          <w:spacing w:val="0"/>
          <w:position w:val="0"/>
          <w:sz w:val="32"/>
          <w:szCs w:val="32"/>
          <w:shd w:val="clear" w:fill="auto"/>
          <w:lang w:val="en-US" w:eastAsia="zh-CN"/>
        </w:rPr>
        <w:t>的问题和</w:t>
      </w:r>
      <w:r>
        <w:rPr>
          <w:rFonts w:hint="eastAsia" w:ascii="仿宋" w:hAnsi="仿宋" w:eastAsia="仿宋" w:cs="仿宋"/>
          <w:color w:val="auto"/>
          <w:spacing w:val="0"/>
          <w:position w:val="0"/>
          <w:sz w:val="32"/>
          <w:szCs w:val="32"/>
          <w:shd w:val="clear" w:fill="auto"/>
        </w:rPr>
        <w:t>隐患</w:t>
      </w:r>
      <w:r>
        <w:rPr>
          <w:rFonts w:hint="eastAsia" w:ascii="仿宋" w:hAnsi="仿宋" w:eastAsia="仿宋" w:cs="仿宋"/>
          <w:color w:val="auto"/>
          <w:spacing w:val="0"/>
          <w:position w:val="0"/>
          <w:sz w:val="32"/>
          <w:szCs w:val="32"/>
          <w:shd w:val="clear" w:fill="auto"/>
          <w:lang w:val="en-US" w:eastAsia="zh-CN"/>
        </w:rPr>
        <w:t>进行教育</w:t>
      </w:r>
      <w:r>
        <w:rPr>
          <w:rFonts w:hint="eastAsia" w:ascii="仿宋" w:hAnsi="仿宋" w:eastAsia="仿宋" w:cs="仿宋"/>
          <w:color w:val="auto"/>
          <w:spacing w:val="0"/>
          <w:position w:val="0"/>
          <w:sz w:val="32"/>
          <w:szCs w:val="32"/>
          <w:shd w:val="clear" w:fill="auto"/>
          <w:lang w:eastAsia="zh-CN"/>
        </w:rPr>
        <w:t>，</w:t>
      </w:r>
      <w:r>
        <w:rPr>
          <w:rFonts w:hint="eastAsia" w:ascii="仿宋" w:hAnsi="仿宋" w:eastAsia="仿宋" w:cs="仿宋"/>
          <w:color w:val="auto"/>
          <w:spacing w:val="0"/>
          <w:position w:val="0"/>
          <w:sz w:val="32"/>
          <w:szCs w:val="32"/>
          <w:shd w:val="clear" w:fill="auto"/>
        </w:rPr>
        <w:t>并责令及时整改。</w:t>
      </w:r>
    </w:p>
    <w:p w14:paraId="5758865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ascii="仿宋" w:hAnsi="仿宋" w:eastAsia="仿宋"/>
          <w:sz w:val="32"/>
          <w:szCs w:val="32"/>
        </w:rPr>
      </w:pPr>
      <w:r>
        <w:rPr>
          <w:rFonts w:hint="eastAsia" w:ascii="仿宋" w:hAnsi="仿宋" w:eastAsia="仿宋" w:cs="仿宋"/>
          <w:color w:val="auto"/>
          <w:spacing w:val="0"/>
          <w:position w:val="0"/>
          <w:sz w:val="32"/>
          <w:szCs w:val="32"/>
          <w:shd w:val="clear" w:fill="auto"/>
        </w:rPr>
        <w:t>绩效指标：通过组织开展安全生产宣传、培训教育活动、加强监督检查问责力度，确保安全排查全覆盖，力争全年实现零事故目标。进一步完善信访工作责任机制，深入开展矛盾纠纷排查化解工作，畅通信访渠道，全面规范信访秩序，做好来访群众矛盾化解工作。</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ind w:firstLine="643" w:firstLineChars="200"/>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C1B306D">
      <w:pPr>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     </w:t>
      </w:r>
      <w:r>
        <w:rPr>
          <w:rFonts w:ascii="仿宋" w:hAnsi="仿宋" w:eastAsia="仿宋" w:cs="仿宋"/>
          <w:color w:val="auto"/>
          <w:spacing w:val="0"/>
          <w:position w:val="0"/>
          <w:sz w:val="32"/>
          <w:shd w:val="clear" w:fill="auto"/>
        </w:rPr>
        <w:t>绩效评价小组到相关科室收集相关数据，再召开小组会议讨论评议，最后进行汇总整理。</w:t>
      </w:r>
      <w:r>
        <w:rPr>
          <w:rFonts w:hint="eastAsia" w:ascii="仿宋" w:hAnsi="仿宋" w:eastAsia="仿宋" w:cs="仿宋"/>
          <w:color w:val="auto"/>
          <w:spacing w:val="0"/>
          <w:position w:val="0"/>
          <w:sz w:val="32"/>
          <w:shd w:val="clear" w:fill="auto"/>
          <w:lang w:val="en-US" w:eastAsia="zh-CN"/>
        </w:rPr>
        <w:t xml:space="preserve">  </w:t>
      </w:r>
    </w:p>
    <w:p w14:paraId="75D29E9D">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377E45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ascii="楷体" w:hAnsi="楷体" w:eastAsia="楷体" w:cs="楷体_GB2312"/>
          <w:bCs/>
          <w:sz w:val="32"/>
          <w:szCs w:val="32"/>
        </w:rPr>
      </w:pPr>
      <w:r>
        <w:rPr>
          <w:rFonts w:hint="eastAsia" w:ascii="仿宋" w:hAnsi="仿宋" w:eastAsia="仿宋" w:cs="仿宋"/>
          <w:color w:val="auto"/>
          <w:spacing w:val="0"/>
          <w:position w:val="0"/>
          <w:sz w:val="32"/>
          <w:shd w:val="clear" w:fill="auto"/>
        </w:rPr>
        <w:t>确定项目实施计划、资金支出计划、绩效目标、产出指标、效果指标。</w:t>
      </w:r>
    </w:p>
    <w:p w14:paraId="031BE99B">
      <w:pPr>
        <w:spacing w:line="560" w:lineRule="exact"/>
        <w:ind w:firstLine="640" w:firstLineChars="200"/>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DCFFD5B">
      <w:pPr>
        <w:keepNext w:val="0"/>
        <w:keepLines w:val="0"/>
        <w:pageBreakBefore w:val="0"/>
        <w:widowControl w:val="0"/>
        <w:kinsoku/>
        <w:wordWrap/>
        <w:overflowPunct/>
        <w:topLinePunct w:val="0"/>
        <w:autoSpaceDE/>
        <w:autoSpaceDN/>
        <w:bidi w:val="0"/>
        <w:adjustRightInd/>
        <w:snapToGrid w:val="0"/>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szCs w:val="32"/>
          <w:shd w:val="clear" w:fill="auto"/>
        </w:rPr>
      </w:pPr>
      <w:r>
        <w:rPr>
          <w:rFonts w:hint="eastAsia" w:ascii="仿宋" w:hAnsi="仿宋" w:eastAsia="仿宋" w:cs="仿宋"/>
          <w:i w:val="0"/>
          <w:iCs w:val="0"/>
          <w:color w:val="000000"/>
          <w:sz w:val="32"/>
          <w:szCs w:val="32"/>
          <w:u w:val="none"/>
          <w:lang w:val="en-US" w:eastAsia="zh-CN"/>
        </w:rPr>
        <w:t>完成情况良好。</w:t>
      </w:r>
      <w:r>
        <w:rPr>
          <w:rFonts w:hint="eastAsia" w:ascii="仿宋" w:hAnsi="仿宋" w:eastAsia="仿宋" w:cs="仿宋"/>
          <w:sz w:val="32"/>
          <w:szCs w:val="32"/>
        </w:rPr>
        <w:t>以习近平总书记系列重要进话精神为指导，在区委、区政府的领导下，强化措施，狠抓落</w:t>
      </w:r>
      <w:r>
        <w:rPr>
          <w:rFonts w:hint="eastAsia" w:ascii="仿宋" w:hAnsi="仿宋" w:eastAsia="仿宋" w:cs="仿宋"/>
          <w:sz w:val="32"/>
          <w:szCs w:val="32"/>
          <w:lang w:eastAsia="zh-CN"/>
        </w:rPr>
        <w:t>实</w:t>
      </w:r>
      <w:r>
        <w:rPr>
          <w:rFonts w:hint="eastAsia" w:ascii="仿宋" w:hAnsi="仿宋" w:eastAsia="仿宋" w:cs="仿宋"/>
          <w:sz w:val="32"/>
          <w:szCs w:val="32"/>
        </w:rPr>
        <w:t>，统筹推进社区公共服务、经济、文化等方面的发展，依法履行工作职责，做好辖区内行政事务管理服务工作。制定和实施街道经济和社会发展</w:t>
      </w:r>
      <w:r>
        <w:rPr>
          <w:rFonts w:hint="eastAsia" w:ascii="仿宋" w:hAnsi="仿宋" w:eastAsia="仿宋" w:cs="仿宋"/>
          <w:sz w:val="32"/>
          <w:szCs w:val="32"/>
          <w:lang w:eastAsia="zh-CN"/>
        </w:rPr>
        <w:t>计划</w:t>
      </w:r>
      <w:r>
        <w:rPr>
          <w:rFonts w:hint="eastAsia" w:ascii="仿宋" w:hAnsi="仿宋" w:eastAsia="仿宋" w:cs="仿宋"/>
          <w:sz w:val="32"/>
          <w:szCs w:val="32"/>
        </w:rPr>
        <w:t>，</w:t>
      </w:r>
      <w:r>
        <w:rPr>
          <w:rFonts w:hint="eastAsia" w:ascii="仿宋" w:hAnsi="仿宋" w:eastAsia="仿宋" w:cs="仿宋"/>
          <w:sz w:val="32"/>
          <w:szCs w:val="32"/>
          <w:lang w:eastAsia="zh-CN"/>
        </w:rPr>
        <w:t>大力</w:t>
      </w:r>
      <w:r>
        <w:rPr>
          <w:rFonts w:hint="eastAsia" w:ascii="仿宋" w:hAnsi="仿宋" w:eastAsia="仿宋" w:cs="仿宋"/>
          <w:sz w:val="32"/>
          <w:szCs w:val="32"/>
        </w:rPr>
        <w:t>发展接待经济和为民、便民、利民的社会服务</w:t>
      </w:r>
      <w:r>
        <w:rPr>
          <w:rFonts w:hint="eastAsia" w:ascii="仿宋" w:hAnsi="仿宋" w:eastAsia="仿宋" w:cs="仿宋"/>
          <w:sz w:val="32"/>
          <w:szCs w:val="32"/>
          <w:lang w:eastAsia="zh-CN"/>
        </w:rPr>
        <w:t>，</w:t>
      </w:r>
      <w:r>
        <w:rPr>
          <w:rFonts w:hint="eastAsia" w:ascii="仿宋" w:hAnsi="仿宋" w:eastAsia="仿宋" w:cs="仿宋"/>
          <w:sz w:val="32"/>
          <w:szCs w:val="32"/>
        </w:rPr>
        <w:t>做好辖区内市容</w:t>
      </w:r>
      <w:r>
        <w:rPr>
          <w:rFonts w:hint="eastAsia" w:ascii="仿宋" w:hAnsi="仿宋" w:eastAsia="仿宋" w:cs="仿宋"/>
          <w:sz w:val="32"/>
          <w:szCs w:val="32"/>
          <w:lang w:eastAsia="zh-CN"/>
        </w:rPr>
        <w:t>市貌</w:t>
      </w:r>
      <w:r>
        <w:rPr>
          <w:rFonts w:hint="eastAsia" w:ascii="仿宋" w:hAnsi="仿宋" w:eastAsia="仿宋" w:cs="仿宋"/>
          <w:sz w:val="32"/>
          <w:szCs w:val="32"/>
        </w:rPr>
        <w:t>、环境整治防疫检测、防汛防雪、防火安全、抢险救灾、道路绿化等工作。负责辖区内群众文化教育、体育、人口</w:t>
      </w:r>
      <w:r>
        <w:rPr>
          <w:rFonts w:hint="eastAsia" w:ascii="仿宋" w:hAnsi="仿宋" w:eastAsia="仿宋" w:cs="仿宋"/>
          <w:sz w:val="32"/>
          <w:szCs w:val="32"/>
          <w:lang w:eastAsia="zh-CN"/>
        </w:rPr>
        <w:t>与计划生育、</w:t>
      </w:r>
      <w:r>
        <w:rPr>
          <w:rFonts w:hint="eastAsia" w:ascii="仿宋" w:hAnsi="仿宋" w:eastAsia="仿宋" w:cs="仿宋"/>
          <w:sz w:val="32"/>
          <w:szCs w:val="32"/>
        </w:rPr>
        <w:t>卫生等工作，做好社会保障与救助，负责辖区内的社会治安治理，依法进行</w:t>
      </w:r>
      <w:r>
        <w:rPr>
          <w:rFonts w:hint="eastAsia" w:ascii="仿宋" w:hAnsi="仿宋" w:eastAsia="仿宋" w:cs="仿宋"/>
          <w:sz w:val="32"/>
          <w:szCs w:val="32"/>
          <w:lang w:eastAsia="zh-CN"/>
        </w:rPr>
        <w:t>兵役</w:t>
      </w:r>
      <w:r>
        <w:rPr>
          <w:rFonts w:hint="eastAsia" w:ascii="仿宋" w:hAnsi="仿宋" w:eastAsia="仿宋" w:cs="仿宋"/>
          <w:sz w:val="32"/>
          <w:szCs w:val="32"/>
        </w:rPr>
        <w:t>管理，组织、管理和监督街道各项财政收支。</w:t>
      </w:r>
    </w:p>
    <w:p w14:paraId="6B4C98D7">
      <w:pPr>
        <w:spacing w:line="560" w:lineRule="exact"/>
        <w:ind w:firstLine="643" w:firstLineChars="200"/>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A3BD19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 w:hAnsi="仿宋" w:eastAsia="仿宋" w:cs="仿宋"/>
          <w:color w:val="auto"/>
          <w:spacing w:val="0"/>
          <w:position w:val="0"/>
          <w:sz w:val="32"/>
          <w:highlight w:val="none"/>
          <w:shd w:val="clear" w:fill="auto"/>
          <w:lang w:eastAsia="zh-CN"/>
        </w:rPr>
      </w:pPr>
      <w:r>
        <w:rPr>
          <w:rFonts w:hint="eastAsia" w:ascii="仿宋" w:hAnsi="仿宋" w:eastAsia="仿宋" w:cs="仿宋"/>
          <w:color w:val="auto"/>
          <w:spacing w:val="0"/>
          <w:position w:val="0"/>
          <w:sz w:val="32"/>
          <w:highlight w:val="none"/>
          <w:shd w:val="clear" w:fill="auto"/>
        </w:rPr>
        <w:t>全年开展了多次消防及安全生产宣传系列活动，进行辖区适龄兵役登记并开展适量多彩的团员活动</w:t>
      </w:r>
      <w:r>
        <w:rPr>
          <w:rFonts w:hint="eastAsia" w:ascii="仿宋" w:hAnsi="仿宋" w:eastAsia="仿宋" w:cs="仿宋"/>
          <w:color w:val="auto"/>
          <w:spacing w:val="0"/>
          <w:position w:val="0"/>
          <w:sz w:val="32"/>
          <w:highlight w:val="none"/>
          <w:shd w:val="clear" w:fill="auto"/>
        </w:rPr>
        <w:tab/>
      </w:r>
      <w:r>
        <w:rPr>
          <w:rFonts w:hint="eastAsia" w:ascii="仿宋" w:hAnsi="仿宋" w:eastAsia="仿宋" w:cs="仿宋"/>
          <w:color w:val="auto"/>
          <w:spacing w:val="0"/>
          <w:position w:val="0"/>
          <w:sz w:val="32"/>
          <w:highlight w:val="none"/>
          <w:shd w:val="clear" w:fill="auto"/>
          <w:lang w:eastAsia="zh-CN"/>
        </w:rPr>
        <w:t>。多次开展活动，认真反思、统一认识，切实帮助群众解决生活难题。</w:t>
      </w:r>
      <w:r>
        <w:rPr>
          <w:rFonts w:hint="eastAsia" w:ascii="仿宋" w:hAnsi="仿宋" w:eastAsia="仿宋" w:cs="仿宋"/>
          <w:color w:val="auto"/>
          <w:spacing w:val="0"/>
          <w:position w:val="0"/>
          <w:sz w:val="32"/>
          <w:szCs w:val="32"/>
          <w:highlight w:val="none"/>
          <w:shd w:val="clear" w:fill="auto"/>
        </w:rPr>
        <w:t>定期组织社区开展安全生产培训、宣传教育活动，提高辖区居民安全防范意识；加强监督检查，建立安全生产台账，并对周边商铺门店进行日常巡查，对发现隐患进行</w:t>
      </w:r>
      <w:r>
        <w:rPr>
          <w:rFonts w:hint="eastAsia" w:ascii="仿宋" w:hAnsi="仿宋" w:eastAsia="仿宋" w:cs="仿宋"/>
          <w:color w:val="auto"/>
          <w:spacing w:val="0"/>
          <w:position w:val="0"/>
          <w:sz w:val="32"/>
          <w:szCs w:val="32"/>
          <w:highlight w:val="none"/>
          <w:shd w:val="clear" w:fill="auto"/>
          <w:lang w:val="en-US" w:eastAsia="zh-CN"/>
        </w:rPr>
        <w:t>教育</w:t>
      </w:r>
      <w:r>
        <w:rPr>
          <w:rFonts w:hint="eastAsia" w:ascii="仿宋" w:hAnsi="仿宋" w:eastAsia="仿宋" w:cs="仿宋"/>
          <w:color w:val="auto"/>
          <w:spacing w:val="0"/>
          <w:position w:val="0"/>
          <w:sz w:val="32"/>
          <w:szCs w:val="32"/>
          <w:highlight w:val="none"/>
          <w:shd w:val="clear" w:fill="auto"/>
        </w:rPr>
        <w:t>并责令及时整改。</w:t>
      </w:r>
      <w:r>
        <w:rPr>
          <w:rFonts w:hint="eastAsia" w:ascii="仿宋" w:hAnsi="仿宋" w:eastAsia="仿宋" w:cs="仿宋"/>
          <w:color w:val="auto"/>
          <w:spacing w:val="0"/>
          <w:position w:val="0"/>
          <w:sz w:val="32"/>
          <w:highlight w:val="none"/>
          <w:shd w:val="clear" w:fill="auto"/>
          <w:lang w:eastAsia="zh-CN"/>
        </w:rPr>
        <w:t>落实慰问走访工作，努力提升高质量的服务环境，完成各项计生工作。协助政府管理社区服务、社会保障、社会治安综合治理、民事调解、公共卫生、人口与计划生育、环境保护、社区居民管理等各项工作，做好创建文明城、卫生城工作；积极做好防疫工作、指导监督业主委员会落实为居民办实事工作。数量指标评价得分</w:t>
      </w:r>
      <w:r>
        <w:rPr>
          <w:rFonts w:hint="eastAsia" w:ascii="仿宋" w:hAnsi="仿宋" w:eastAsia="仿宋" w:cs="仿宋"/>
          <w:color w:val="auto"/>
          <w:spacing w:val="0"/>
          <w:position w:val="0"/>
          <w:sz w:val="32"/>
          <w:highlight w:val="none"/>
          <w:shd w:val="clear" w:fill="auto"/>
          <w:lang w:val="en-US" w:eastAsia="zh-CN"/>
        </w:rPr>
        <w:t>86分，质量指标评价得分88分，时效指标评价得分90分，成本效益指标评价得分88分。</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692BBC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0"/>
        <w:jc w:val="both"/>
        <w:textAlignment w:val="auto"/>
        <w:outlineLvl w:val="9"/>
        <w:rPr>
          <w:rFonts w:ascii="仿宋" w:hAnsi="仿宋" w:eastAsia="仿宋" w:cs="仿宋"/>
          <w:color w:val="auto"/>
          <w:spacing w:val="0"/>
          <w:position w:val="0"/>
          <w:sz w:val="32"/>
          <w:shd w:val="clear" w:fill="auto"/>
        </w:rPr>
      </w:pPr>
      <w:r>
        <w:rPr>
          <w:rFonts w:ascii="仿宋" w:hAnsi="仿宋" w:eastAsia="仿宋" w:cs="仿宋"/>
          <w:color w:val="auto"/>
          <w:spacing w:val="0"/>
          <w:position w:val="0"/>
          <w:sz w:val="32"/>
          <w:shd w:val="clear" w:fill="auto"/>
        </w:rPr>
        <w:t>根据部门职责定位和各项工作履职情况进行综合评价，</w:t>
      </w:r>
      <w:r>
        <w:rPr>
          <w:rFonts w:hint="eastAsia" w:ascii="仿宋_GB2312" w:hAnsi="仿宋_GB2312" w:eastAsia="仿宋_GB2312" w:cs="仿宋_GB2312"/>
          <w:color w:val="auto"/>
          <w:spacing w:val="0"/>
          <w:position w:val="0"/>
          <w:sz w:val="32"/>
          <w:shd w:val="clear" w:fill="auto"/>
        </w:rPr>
        <w:t>得出综合评价得分8</w:t>
      </w:r>
      <w:r>
        <w:rPr>
          <w:rFonts w:hint="eastAsia" w:ascii="仿宋_GB2312" w:hAnsi="仿宋_GB2312" w:eastAsia="仿宋_GB2312" w:cs="仿宋_GB2312"/>
          <w:color w:val="auto"/>
          <w:spacing w:val="0"/>
          <w:position w:val="0"/>
          <w:sz w:val="32"/>
          <w:shd w:val="clear" w:fill="auto"/>
          <w:lang w:val="en-US" w:eastAsia="zh-CN"/>
        </w:rPr>
        <w:t>8</w:t>
      </w:r>
      <w:r>
        <w:rPr>
          <w:rFonts w:hint="eastAsia" w:ascii="仿宋_GB2312" w:hAnsi="仿宋_GB2312" w:eastAsia="仿宋_GB2312" w:cs="仿宋_GB2312"/>
          <w:color w:val="auto"/>
          <w:spacing w:val="0"/>
          <w:position w:val="0"/>
          <w:sz w:val="32"/>
          <w:shd w:val="clear" w:fill="auto"/>
        </w:rPr>
        <w:t>分，项目综合绩效评价等级为优秀。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53E92BB">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972F63C">
      <w:pPr>
        <w:spacing w:line="560" w:lineRule="exact"/>
        <w:ind w:firstLine="960" w:firstLineChars="3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无</w:t>
      </w:r>
    </w:p>
    <w:p w14:paraId="2E4FD2EB">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57DAB05C">
      <w:pPr>
        <w:adjustRightInd w:val="0"/>
        <w:snapToGrid w:val="0"/>
        <w:spacing w:line="560" w:lineRule="exact"/>
        <w:ind w:firstLine="960" w:firstLineChars="300"/>
        <w:rPr>
          <w:rFonts w:hint="eastAsia" w:ascii="黑体" w:hAnsi="黑体" w:eastAsia="黑体"/>
          <w:sz w:val="32"/>
          <w:szCs w:val="32"/>
          <w:lang w:val="en-US" w:eastAsia="zh-CN"/>
        </w:rPr>
      </w:pPr>
      <w:r>
        <w:rPr>
          <w:rFonts w:hint="eastAsia" w:ascii="仿宋" w:hAnsi="仿宋" w:eastAsia="仿宋" w:cs="仿宋"/>
          <w:sz w:val="32"/>
          <w:szCs w:val="32"/>
          <w:lang w:val="en-US" w:eastAsia="zh-CN"/>
        </w:rPr>
        <w:t>无</w:t>
      </w:r>
    </w:p>
    <w:p w14:paraId="6586231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黑体"/>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2B0CDDC"/>
    <w:multiLevelType w:val="singleLevel"/>
    <w:tmpl w:val="52B0CDDC"/>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B104CA"/>
    <w:rsid w:val="02106AB0"/>
    <w:rsid w:val="02B43A28"/>
    <w:rsid w:val="046F331E"/>
    <w:rsid w:val="07956271"/>
    <w:rsid w:val="09721397"/>
    <w:rsid w:val="0BB63BED"/>
    <w:rsid w:val="0D977723"/>
    <w:rsid w:val="0EB97A43"/>
    <w:rsid w:val="0EBD2122"/>
    <w:rsid w:val="0F214EAE"/>
    <w:rsid w:val="11B71E6A"/>
    <w:rsid w:val="17D33319"/>
    <w:rsid w:val="1AAF0063"/>
    <w:rsid w:val="1B740D26"/>
    <w:rsid w:val="1BE140DE"/>
    <w:rsid w:val="1E542E40"/>
    <w:rsid w:val="248C197D"/>
    <w:rsid w:val="252959AF"/>
    <w:rsid w:val="277A6671"/>
    <w:rsid w:val="292D35B7"/>
    <w:rsid w:val="2F322CE1"/>
    <w:rsid w:val="33EB6CFF"/>
    <w:rsid w:val="35A12947"/>
    <w:rsid w:val="36E34764"/>
    <w:rsid w:val="37387040"/>
    <w:rsid w:val="3AB36363"/>
    <w:rsid w:val="3B625C0A"/>
    <w:rsid w:val="3CEE1963"/>
    <w:rsid w:val="3F336FFA"/>
    <w:rsid w:val="436B78D3"/>
    <w:rsid w:val="43B64CA8"/>
    <w:rsid w:val="4C9C27FE"/>
    <w:rsid w:val="502A44B1"/>
    <w:rsid w:val="512260B4"/>
    <w:rsid w:val="52BD6ACB"/>
    <w:rsid w:val="55537534"/>
    <w:rsid w:val="55925E44"/>
    <w:rsid w:val="561A74F1"/>
    <w:rsid w:val="58B17416"/>
    <w:rsid w:val="597244E8"/>
    <w:rsid w:val="5EB71C30"/>
    <w:rsid w:val="66AF0CE5"/>
    <w:rsid w:val="68AC2130"/>
    <w:rsid w:val="6AC537CF"/>
    <w:rsid w:val="6B043A7F"/>
    <w:rsid w:val="6E5B14A6"/>
    <w:rsid w:val="711B255E"/>
    <w:rsid w:val="732C2408"/>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Pages>
  <Words>95</Words>
  <Characters>547</Characters>
  <Lines>4</Lines>
  <Paragraphs>1</Paragraphs>
  <TotalTime>4</TotalTime>
  <ScaleCrop>false</ScaleCrop>
  <LinksUpToDate>false</LinksUpToDate>
  <CharactersWithSpaces>641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acer</cp:lastModifiedBy>
  <cp:lastPrinted>2026-03-03T01:23:00Z</cp:lastPrinted>
  <dcterms:modified xsi:type="dcterms:W3CDTF">2026-04-21T02:42:11Z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