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7F987D">
      <w:pPr>
        <w:spacing w:line="560" w:lineRule="exact"/>
        <w:jc w:val="center"/>
        <w:rPr>
          <w:rFonts w:ascii="宋体" w:hAnsi="宋体" w:cs="宋体"/>
          <w:b/>
          <w:bCs/>
          <w:sz w:val="44"/>
          <w:szCs w:val="44"/>
        </w:rPr>
      </w:pPr>
    </w:p>
    <w:p w14:paraId="0850CF8D">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石家庄市新华区商务局</w:t>
      </w:r>
    </w:p>
    <w:p w14:paraId="6C366AA0">
      <w:pPr>
        <w:spacing w:line="560" w:lineRule="exact"/>
        <w:jc w:val="center"/>
        <w:rPr>
          <w:rFonts w:ascii="宋体" w:hAnsi="宋体" w:cs="宋体"/>
          <w:b/>
          <w:bCs/>
          <w:sz w:val="44"/>
          <w:szCs w:val="44"/>
        </w:rPr>
      </w:pPr>
      <w:r>
        <w:rPr>
          <w:rFonts w:hint="eastAsia" w:ascii="宋体" w:hAnsi="宋体" w:cs="宋体"/>
          <w:b/>
          <w:bCs/>
          <w:sz w:val="44"/>
          <w:szCs w:val="44"/>
          <w:lang w:eastAsia="zh-CN"/>
        </w:rPr>
        <w:t>2025</w:t>
      </w:r>
      <w:r>
        <w:rPr>
          <w:rFonts w:hint="eastAsia" w:ascii="宋体" w:hAnsi="宋体" w:cs="宋体"/>
          <w:b/>
          <w:bCs/>
          <w:sz w:val="44"/>
          <w:szCs w:val="44"/>
        </w:rPr>
        <w:t>年度整体支出绩效自评报告</w:t>
      </w:r>
    </w:p>
    <w:p w14:paraId="144E6FA0">
      <w:pPr>
        <w:adjustRightInd w:val="0"/>
        <w:snapToGrid w:val="0"/>
        <w:spacing w:line="560" w:lineRule="exact"/>
        <w:ind w:firstLine="640" w:firstLineChars="200"/>
        <w:rPr>
          <w:rFonts w:hint="eastAsia" w:ascii="仿宋" w:hAnsi="仿宋" w:eastAsia="仿宋"/>
          <w:sz w:val="32"/>
          <w:szCs w:val="32"/>
        </w:rPr>
      </w:pPr>
    </w:p>
    <w:p w14:paraId="53FEBA4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区</w:t>
      </w:r>
      <w:r>
        <w:rPr>
          <w:rFonts w:hint="eastAsia" w:ascii="仿宋" w:hAnsi="仿宋" w:eastAsia="仿宋"/>
          <w:sz w:val="32"/>
          <w:szCs w:val="32"/>
        </w:rPr>
        <w:t>委</w:t>
      </w:r>
      <w:r>
        <w:rPr>
          <w:rFonts w:hint="eastAsia" w:ascii="仿宋" w:hAnsi="仿宋" w:eastAsia="仿宋"/>
          <w:sz w:val="32"/>
          <w:szCs w:val="32"/>
          <w:lang w:eastAsia="zh-CN"/>
        </w:rPr>
        <w:t>区</w:t>
      </w:r>
      <w:r>
        <w:rPr>
          <w:rFonts w:hint="eastAsia" w:ascii="仿宋" w:hAnsi="仿宋" w:eastAsia="仿宋"/>
          <w:sz w:val="32"/>
          <w:szCs w:val="32"/>
        </w:rPr>
        <w:t>政府</w:t>
      </w:r>
      <w:r>
        <w:rPr>
          <w:rFonts w:hint="eastAsia" w:ascii="仿宋_GB2312" w:eastAsia="仿宋_GB2312"/>
          <w:sz w:val="32"/>
          <w:szCs w:val="32"/>
        </w:rPr>
        <w:t>《关于全面落实预算绩效管理的实施意见》（新华发〔2019〕9号）</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石家庄市新华区商务局本</w:t>
      </w:r>
      <w:r>
        <w:rPr>
          <w:rFonts w:hint="eastAsia" w:ascii="仿宋" w:hAnsi="仿宋" w:eastAsia="仿宋"/>
          <w:sz w:val="32"/>
          <w:szCs w:val="32"/>
        </w:rPr>
        <w:t>部门</w:t>
      </w:r>
      <w:r>
        <w:rPr>
          <w:rFonts w:hint="eastAsia" w:ascii="仿宋" w:hAnsi="仿宋" w:eastAsia="仿宋"/>
          <w:sz w:val="32"/>
          <w:szCs w:val="32"/>
          <w:lang w:eastAsia="zh-CN"/>
        </w:rPr>
        <w:t>2025</w:t>
      </w:r>
      <w:r>
        <w:rPr>
          <w:rFonts w:hint="eastAsia" w:ascii="仿宋" w:hAnsi="仿宋" w:eastAsia="仿宋"/>
          <w:sz w:val="32"/>
          <w:szCs w:val="32"/>
        </w:rPr>
        <w:t>年整体支出情况实施了财政支出绩效自评价，形成本评价报告。</w:t>
      </w:r>
    </w:p>
    <w:p w14:paraId="2D6D7DED">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65EA9B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28ABC0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区商务局作为全区重要的经济工作部门，主要</w:t>
      </w:r>
      <w:r>
        <w:rPr>
          <w:rFonts w:hint="eastAsia" w:ascii="仿宋" w:hAnsi="仿宋" w:eastAsia="仿宋"/>
          <w:sz w:val="32"/>
          <w:szCs w:val="32"/>
        </w:rPr>
        <w:t>负责贯彻落实招商引资、利用外资、区域协作中长期发展规划、年度计划；贯彻落实投资促进政策，组织起草投资促进方面地方政策。负责建立投资促进工作体系、工作机制，对利用国内外资金和经济技术合作情况进行统计、汇总、分析。组织和促进委托招商、代理招商、中介招商、专业招商、网上招商等多种形式的招商活动，制订并落实奖励政策；加强招商引资专业人才队伍建设</w:t>
      </w:r>
      <w:r>
        <w:rPr>
          <w:rFonts w:hint="eastAsia" w:ascii="仿宋" w:hAnsi="仿宋" w:eastAsia="仿宋"/>
          <w:sz w:val="32"/>
          <w:szCs w:val="32"/>
          <w:lang w:eastAsia="zh-CN"/>
        </w:rPr>
        <w:t>。</w:t>
      </w:r>
      <w:r>
        <w:rPr>
          <w:rFonts w:hint="eastAsia" w:ascii="仿宋" w:hAnsi="仿宋" w:eastAsia="仿宋"/>
          <w:sz w:val="32"/>
          <w:szCs w:val="32"/>
        </w:rPr>
        <w:t>贯彻落实国家有关国内外贸易、国际经济合作的发展战略、方针、政策和法律法规。贯彻落实全区国内贸易发展规划。</w:t>
      </w:r>
      <w:r>
        <w:rPr>
          <w:rFonts w:hint="eastAsia" w:ascii="仿宋" w:hAnsi="仿宋" w:eastAsia="仿宋"/>
          <w:sz w:val="32"/>
          <w:szCs w:val="32"/>
          <w:lang w:val="en-US" w:eastAsia="zh-CN"/>
        </w:rPr>
        <w:t>区商务局区本级是区直正科级全额财政拨款行政单位，下设办公室一个科室，办公地点在政府楼6楼，按人员配置办公电脑、打印机、复印机及办公桌椅、文件柜等办公设备</w:t>
      </w:r>
      <w:r>
        <w:rPr>
          <w:rFonts w:hint="eastAsia" w:ascii="仿宋" w:hAnsi="仿宋" w:eastAsia="仿宋"/>
          <w:sz w:val="32"/>
          <w:szCs w:val="32"/>
        </w:rPr>
        <w:t>。</w:t>
      </w:r>
    </w:p>
    <w:p w14:paraId="79FFCE90">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1DA447D4">
      <w:pPr>
        <w:numPr>
          <w:ilvl w:val="0"/>
          <w:numId w:val="0"/>
        </w:numPr>
        <w:adjustRightInd w:val="0"/>
        <w:snapToGrid w:val="0"/>
        <w:spacing w:line="560" w:lineRule="exact"/>
        <w:rPr>
          <w:rFonts w:hint="eastAsia" w:ascii="仿宋_GB2312" w:hAnsi="仿宋_GB2312" w:eastAsia="仿宋_GB2312" w:cs="仿宋_GB2312"/>
          <w:bCs/>
          <w:sz w:val="32"/>
          <w:szCs w:val="32"/>
        </w:rPr>
      </w:pPr>
      <w:r>
        <w:rPr>
          <w:rFonts w:hint="eastAsia" w:ascii="楷体" w:hAnsi="楷体" w:eastAsia="楷体" w:cs="楷体_GB2312"/>
          <w:bCs/>
          <w:sz w:val="32"/>
          <w:szCs w:val="32"/>
        </w:rPr>
        <w:t xml:space="preserve"> </w:t>
      </w:r>
      <w:r>
        <w:rPr>
          <w:rFonts w:hint="eastAsia" w:ascii="楷体" w:hAnsi="楷体" w:eastAsia="楷体" w:cs="楷体_GB2312"/>
          <w:bCs/>
          <w:sz w:val="32"/>
          <w:szCs w:val="32"/>
          <w:lang w:val="en-US" w:eastAsia="zh-CN"/>
        </w:rPr>
        <w:t xml:space="preserve">    </w:t>
      </w:r>
      <w:r>
        <w:rPr>
          <w:rFonts w:hint="eastAsia" w:ascii="仿宋_GB2312" w:hAnsi="仿宋_GB2312" w:eastAsia="仿宋_GB2312" w:cs="仿宋_GB2312"/>
          <w:bCs/>
          <w:sz w:val="32"/>
          <w:szCs w:val="32"/>
          <w:lang w:val="en-US" w:eastAsia="zh-CN"/>
        </w:rPr>
        <w:t>2025年年初批复预算及调整后下达各级各类一般公共财政预算拨款收入项目专项资金2968。41万元，截止当年12月31日，累计支出2968。41</w:t>
      </w:r>
      <w:bookmarkStart w:id="0" w:name="_GoBack"/>
      <w:bookmarkEnd w:id="0"/>
      <w:r>
        <w:rPr>
          <w:rFonts w:hint="eastAsia" w:ascii="仿宋_GB2312" w:hAnsi="仿宋_GB2312" w:eastAsia="仿宋_GB2312" w:cs="仿宋_GB2312"/>
          <w:bCs/>
          <w:sz w:val="32"/>
          <w:szCs w:val="32"/>
          <w:lang w:val="en-US" w:eastAsia="zh-CN"/>
        </w:rPr>
        <w:t>万元，支出进度比例100%。</w:t>
      </w:r>
    </w:p>
    <w:p w14:paraId="20C0502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5F9CC5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按照我局的工作职能，2025年全年安排预算项目主要包括当年预算下达的招商引资专项经费、中央、省、市外经贸发展专项资金、省、市商贸流通发展专项资金、促消费专项资金。当年预算执行按照年初制订的绩效目标已全部执行完毕，完成当年各项绩效指标。</w:t>
      </w:r>
    </w:p>
    <w:p w14:paraId="0601003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AE6AFAD">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CF68744">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_GB2312" w:hAnsi="仿宋_GB2312" w:eastAsia="仿宋_GB2312" w:cs="仿宋_GB2312"/>
          <w:sz w:val="32"/>
          <w:szCs w:val="32"/>
        </w:rPr>
        <w:t>为加强财政支出管理，提高财政资金使用效益，</w:t>
      </w:r>
      <w:r>
        <w:rPr>
          <w:rFonts w:hint="eastAsia" w:ascii="仿宋_GB2312" w:hAnsi="仿宋_GB2312" w:eastAsia="仿宋_GB2312" w:cs="仿宋_GB2312"/>
          <w:sz w:val="32"/>
          <w:szCs w:val="32"/>
          <w:lang w:val="en-US" w:eastAsia="zh-CN"/>
        </w:rPr>
        <w:t>我局</w:t>
      </w:r>
      <w:r>
        <w:rPr>
          <w:rFonts w:hint="eastAsia" w:ascii="仿宋_GB2312" w:hAnsi="仿宋_GB2312" w:eastAsia="仿宋_GB2312" w:cs="仿宋_GB2312"/>
          <w:sz w:val="32"/>
          <w:szCs w:val="32"/>
        </w:rPr>
        <w:t>于</w:t>
      </w:r>
      <w:r>
        <w:rPr>
          <w:rFonts w:hint="eastAsia" w:ascii="仿宋_GB2312" w:hAnsi="仿宋_GB2312" w:eastAsia="仿宋_GB2312" w:cs="仿宋_GB2312"/>
          <w:sz w:val="32"/>
          <w:szCs w:val="32"/>
          <w:lang w:val="en-US" w:eastAsia="zh-CN"/>
        </w:rPr>
        <w:t>区财政文件要求的时间内</w:t>
      </w:r>
      <w:r>
        <w:rPr>
          <w:rFonts w:hint="eastAsia" w:ascii="仿宋_GB2312" w:hAnsi="仿宋_GB2312" w:eastAsia="仿宋_GB2312" w:cs="仿宋_GB2312"/>
          <w:sz w:val="32"/>
          <w:szCs w:val="32"/>
        </w:rPr>
        <w:t>，对</w:t>
      </w:r>
      <w:r>
        <w:rPr>
          <w:rFonts w:hint="eastAsia" w:ascii="仿宋_GB2312" w:hAnsi="仿宋_GB2312" w:eastAsia="仿宋_GB2312" w:cs="仿宋_GB2312"/>
          <w:sz w:val="32"/>
          <w:szCs w:val="32"/>
          <w:lang w:val="en-US" w:eastAsia="zh-CN"/>
        </w:rPr>
        <w:t>本部门、本单位业务</w:t>
      </w:r>
      <w:r>
        <w:rPr>
          <w:rFonts w:hint="eastAsia" w:ascii="仿宋_GB2312" w:hAnsi="仿宋_GB2312" w:eastAsia="仿宋_GB2312" w:cs="仿宋_GB2312"/>
          <w:sz w:val="32"/>
          <w:szCs w:val="32"/>
        </w:rPr>
        <w:t>主管的</w:t>
      </w:r>
      <w:r>
        <w:rPr>
          <w:rFonts w:hint="eastAsia" w:ascii="仿宋_GB2312" w:hAnsi="仿宋_GB2312" w:eastAsia="仿宋_GB2312" w:cs="仿宋_GB2312"/>
          <w:sz w:val="32"/>
          <w:szCs w:val="32"/>
          <w:lang w:eastAsia="zh-CN"/>
        </w:rPr>
        <w:t>2025</w:t>
      </w:r>
      <w:r>
        <w:rPr>
          <w:rFonts w:hint="eastAsia" w:ascii="仿宋_GB2312" w:hAnsi="仿宋_GB2312" w:eastAsia="仿宋_GB2312" w:cs="仿宋_GB2312"/>
          <w:sz w:val="32"/>
          <w:szCs w:val="32"/>
        </w:rPr>
        <w:t>年度项目专项资金开展了绩效自评工作。</w:t>
      </w:r>
      <w:r>
        <w:rPr>
          <w:rFonts w:hint="eastAsia" w:ascii="仿宋_GB2312" w:hAnsi="仿宋_GB2312" w:eastAsia="仿宋_GB2312" w:cs="仿宋_GB2312"/>
          <w:sz w:val="32"/>
          <w:szCs w:val="32"/>
          <w:lang w:val="en-US" w:eastAsia="zh-CN"/>
        </w:rPr>
        <w:t>资料收集主要是来源于正常的预算收支拨付记录资料，评价过程做到完整准确，评价工作组织得当。</w:t>
      </w:r>
    </w:p>
    <w:p w14:paraId="7048D927">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0E4D6DC">
      <w:pPr>
        <w:numPr>
          <w:ilvl w:val="0"/>
          <w:numId w:val="0"/>
        </w:numPr>
        <w:spacing w:line="560" w:lineRule="exact"/>
        <w:ind w:firstLine="960" w:firstLineChars="300"/>
        <w:rPr>
          <w:rFonts w:ascii="楷体" w:hAnsi="楷体" w:eastAsia="楷体" w:cs="楷体_GB2312"/>
          <w:bCs/>
          <w:sz w:val="32"/>
          <w:szCs w:val="32"/>
        </w:rPr>
      </w:pPr>
      <w:r>
        <w:rPr>
          <w:rFonts w:hint="eastAsia" w:ascii="仿宋_GB2312" w:hAnsi="仿宋_GB2312" w:eastAsia="仿宋_GB2312" w:cs="仿宋_GB2312"/>
          <w:sz w:val="32"/>
          <w:szCs w:val="32"/>
        </w:rPr>
        <w:t>评价采用定量分析和定性分析相结合的方法，从预算编制与执行、资金分配与使用、资金监督与管理及财务会计信息、项目组织管理、项目绩效完成等方面对项目进行了绩效自评。</w:t>
      </w:r>
    </w:p>
    <w:p w14:paraId="7FEB336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BC5510B">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EF09A19">
      <w:pPr>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区级商务部门</w:t>
      </w:r>
      <w:r>
        <w:rPr>
          <w:rFonts w:hint="eastAsia" w:ascii="仿宋_GB2312" w:hAnsi="仿宋_GB2312" w:eastAsia="仿宋_GB2312" w:cs="仿宋_GB2312"/>
          <w:sz w:val="32"/>
          <w:szCs w:val="32"/>
        </w:rPr>
        <w:t>工作以习近平新时代中国特色社会主义思想为指导，贯彻落实党的</w:t>
      </w:r>
      <w:r>
        <w:rPr>
          <w:rFonts w:hint="eastAsia" w:ascii="仿宋_GB2312" w:hAnsi="仿宋_GB2312" w:eastAsia="仿宋_GB2312" w:cs="仿宋_GB2312"/>
          <w:sz w:val="32"/>
          <w:szCs w:val="32"/>
          <w:lang w:val="en-US" w:eastAsia="zh-CN"/>
        </w:rPr>
        <w:t>二十</w:t>
      </w:r>
      <w:r>
        <w:rPr>
          <w:rFonts w:hint="eastAsia" w:ascii="仿宋_GB2312" w:hAnsi="仿宋_GB2312" w:eastAsia="仿宋_GB2312" w:cs="仿宋_GB2312"/>
          <w:sz w:val="32"/>
          <w:szCs w:val="32"/>
        </w:rPr>
        <w:t>大及中央、省委、市委经济工作会议精神，坚持稳中求进工作总基调，深入落实“创新引领、开放崛起”战略，坚持把招商引资作为商务和开放型经济工作的“第一抓手”，围绕</w:t>
      </w:r>
      <w:r>
        <w:rPr>
          <w:rFonts w:hint="eastAsia" w:ascii="仿宋_GB2312" w:hAnsi="仿宋_GB2312" w:eastAsia="仿宋_GB2312" w:cs="仿宋_GB2312"/>
          <w:sz w:val="32"/>
          <w:szCs w:val="32"/>
          <w:lang w:val="en-US" w:eastAsia="zh-CN"/>
        </w:rPr>
        <w:t>区政府年初工作目标</w:t>
      </w:r>
      <w:r>
        <w:rPr>
          <w:rFonts w:hint="eastAsia" w:ascii="仿宋_GB2312" w:hAnsi="仿宋_GB2312" w:eastAsia="仿宋_GB2312" w:cs="仿宋_GB2312"/>
          <w:sz w:val="32"/>
          <w:szCs w:val="32"/>
        </w:rPr>
        <w:t>，深入实施创新引领、开放崛起战略，积极落实</w:t>
      </w:r>
      <w:r>
        <w:rPr>
          <w:rFonts w:hint="eastAsia" w:ascii="仿宋_GB2312" w:hAnsi="仿宋_GB2312" w:eastAsia="仿宋_GB2312" w:cs="仿宋_GB2312"/>
          <w:sz w:val="32"/>
          <w:szCs w:val="32"/>
          <w:lang w:val="en-US" w:eastAsia="zh-CN"/>
        </w:rPr>
        <w:t>上级商务部门的工作安排</w:t>
      </w:r>
      <w:r>
        <w:rPr>
          <w:rFonts w:hint="eastAsia" w:ascii="仿宋_GB2312" w:hAnsi="仿宋_GB2312" w:eastAsia="仿宋_GB2312" w:cs="仿宋_GB2312"/>
          <w:sz w:val="32"/>
          <w:szCs w:val="32"/>
        </w:rPr>
        <w:t>要求，着力推进全</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商</w:t>
      </w:r>
      <w:r>
        <w:rPr>
          <w:rFonts w:hint="eastAsia" w:ascii="仿宋_GB2312" w:hAnsi="仿宋_GB2312" w:eastAsia="仿宋_GB2312" w:cs="仿宋_GB2312"/>
          <w:sz w:val="32"/>
          <w:szCs w:val="32"/>
          <w:lang w:val="en-US" w:eastAsia="zh-CN"/>
        </w:rPr>
        <w:t>贸流通</w:t>
      </w:r>
      <w:r>
        <w:rPr>
          <w:rFonts w:hint="eastAsia" w:ascii="仿宋_GB2312" w:hAnsi="仿宋_GB2312" w:eastAsia="仿宋_GB2312" w:cs="仿宋_GB2312"/>
          <w:sz w:val="32"/>
          <w:szCs w:val="32"/>
        </w:rPr>
        <w:t>和开放型经济高质量发展，充分展示创新引领、开放崛起的示范区和排头兵风采，为全面建设现代化</w:t>
      </w:r>
      <w:r>
        <w:rPr>
          <w:rFonts w:hint="eastAsia" w:ascii="仿宋_GB2312" w:hAnsi="仿宋_GB2312" w:eastAsia="仿宋_GB2312" w:cs="仿宋_GB2312"/>
          <w:sz w:val="32"/>
          <w:szCs w:val="32"/>
          <w:lang w:val="en-US" w:eastAsia="zh-CN"/>
        </w:rPr>
        <w:t>新华区</w:t>
      </w:r>
      <w:r>
        <w:rPr>
          <w:rFonts w:hint="eastAsia" w:ascii="仿宋_GB2312" w:hAnsi="仿宋_GB2312" w:eastAsia="仿宋_GB2312" w:cs="仿宋_GB2312"/>
          <w:sz w:val="32"/>
          <w:szCs w:val="32"/>
        </w:rPr>
        <w:t>贡献新的力量。</w:t>
      </w:r>
    </w:p>
    <w:p w14:paraId="4DF1224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2A15484">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对内商贸管理</w:t>
      </w:r>
    </w:p>
    <w:p w14:paraId="00EAC37F">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绩效目标：按照</w:t>
      </w:r>
      <w:r>
        <w:rPr>
          <w:rFonts w:hint="eastAsia" w:ascii="仿宋" w:hAnsi="仿宋" w:eastAsia="仿宋"/>
          <w:sz w:val="32"/>
          <w:szCs w:val="32"/>
          <w:lang w:val="en-US" w:eastAsia="zh-CN"/>
        </w:rPr>
        <w:t>区</w:t>
      </w:r>
      <w:r>
        <w:rPr>
          <w:rFonts w:hint="eastAsia" w:ascii="仿宋" w:hAnsi="仿宋" w:eastAsia="仿宋"/>
          <w:sz w:val="32"/>
          <w:szCs w:val="32"/>
        </w:rPr>
        <w:t>委、</w:t>
      </w:r>
      <w:r>
        <w:rPr>
          <w:rFonts w:hint="eastAsia" w:ascii="仿宋" w:hAnsi="仿宋" w:eastAsia="仿宋"/>
          <w:sz w:val="32"/>
          <w:szCs w:val="32"/>
          <w:lang w:val="en-US" w:eastAsia="zh-CN"/>
        </w:rPr>
        <w:t>区</w:t>
      </w:r>
      <w:r>
        <w:rPr>
          <w:rFonts w:hint="eastAsia" w:ascii="仿宋" w:hAnsi="仿宋" w:eastAsia="仿宋"/>
          <w:sz w:val="32"/>
          <w:szCs w:val="32"/>
        </w:rPr>
        <w:t>政府关于搞活商贸流通的相关</w:t>
      </w:r>
      <w:r>
        <w:rPr>
          <w:rFonts w:hint="eastAsia" w:ascii="仿宋" w:hAnsi="仿宋" w:eastAsia="仿宋"/>
          <w:sz w:val="32"/>
          <w:szCs w:val="32"/>
          <w:lang w:val="en-US" w:eastAsia="zh-CN"/>
        </w:rPr>
        <w:t>工作</w:t>
      </w:r>
      <w:r>
        <w:rPr>
          <w:rFonts w:hint="eastAsia" w:ascii="仿宋" w:hAnsi="仿宋" w:eastAsia="仿宋"/>
          <w:sz w:val="32"/>
          <w:szCs w:val="32"/>
        </w:rPr>
        <w:t>要求，完成任务分解、资金安排等相关工作。</w:t>
      </w:r>
    </w:p>
    <w:p w14:paraId="2599407D">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绩效指标：规范全区对外招商引资活动，组织实施投资贸 易治谈会等活动，组织我区企业走出去，开展贸易洽谈、招商合作等活动，促进贸易往来。贯彻落实国家电子商务网络建设的相关政策、措施，组织外贸企业及商务领域信息化培训，协调及保障楼宇经济发展，商业网点规划及建设，做好重点商贸项目王作。</w:t>
      </w:r>
    </w:p>
    <w:p w14:paraId="7F0C44E0">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对外贸易管理</w:t>
      </w:r>
    </w:p>
    <w:p w14:paraId="1039A9BD">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绩效目标：创新对外投资方式，，推动国际产能合作，优化产品结构，促进对外贸易稳定增长，完成省政府下达的外贸进出口指标。</w:t>
      </w:r>
    </w:p>
    <w:p w14:paraId="7F87591C">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绩效指标：研宄提出全区利用外资的发展战略、总量平衡和结构优化的目标。负责对外开放和横向经济技术联合与协作。</w:t>
      </w:r>
    </w:p>
    <w:p w14:paraId="41B5FC5C">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商务政务管理</w:t>
      </w:r>
    </w:p>
    <w:p w14:paraId="4D335E13">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绩效目标：统筹做好各项商务业务管理工作，完善商务综合事务管理，确保全年商务工作顺利完成。</w:t>
      </w:r>
    </w:p>
    <w:p w14:paraId="095E12EA">
      <w:pPr>
        <w:spacing w:line="560" w:lineRule="exact"/>
        <w:ind w:firstLine="800" w:firstLineChars="250"/>
        <w:rPr>
          <w:rFonts w:ascii="仿宋" w:hAnsi="仿宋" w:eastAsia="仿宋"/>
          <w:sz w:val="32"/>
          <w:szCs w:val="32"/>
        </w:rPr>
      </w:pPr>
      <w:r>
        <w:rPr>
          <w:rFonts w:hint="eastAsia" w:ascii="仿宋" w:hAnsi="仿宋" w:eastAsia="仿宋"/>
          <w:sz w:val="32"/>
          <w:szCs w:val="32"/>
        </w:rPr>
        <w:t>绩效目标：指导社区商业发展、扶持流通领域中小企业发展，组织开展夜经济等消费活动</w:t>
      </w:r>
      <w:r>
        <w:rPr>
          <w:rFonts w:hint="eastAsia" w:ascii="仿宋" w:hAnsi="仿宋" w:eastAsia="仿宋"/>
          <w:sz w:val="32"/>
          <w:szCs w:val="32"/>
          <w:lang w:eastAsia="zh-CN"/>
        </w:rPr>
        <w:t>，</w:t>
      </w:r>
      <w:r>
        <w:rPr>
          <w:rFonts w:hint="eastAsia" w:ascii="仿宋" w:hAnsi="仿宋" w:eastAsia="仿宋"/>
          <w:sz w:val="32"/>
          <w:szCs w:val="32"/>
          <w:lang w:val="en-US" w:eastAsia="zh-CN"/>
        </w:rPr>
        <w:t>打造一刻钟便民生活圈，</w:t>
      </w:r>
      <w:r>
        <w:rPr>
          <w:rFonts w:hint="eastAsia" w:ascii="仿宋" w:hAnsi="仿宋" w:eastAsia="仿宋"/>
          <w:sz w:val="32"/>
          <w:szCs w:val="32"/>
        </w:rPr>
        <w:t>推进体制改革，促进</w:t>
      </w:r>
      <w:r>
        <w:rPr>
          <w:rFonts w:hint="eastAsia" w:ascii="仿宋" w:hAnsi="仿宋" w:eastAsia="仿宋"/>
          <w:sz w:val="32"/>
          <w:szCs w:val="32"/>
          <w:lang w:val="en-US" w:eastAsia="zh-CN"/>
        </w:rPr>
        <w:t>连</w:t>
      </w:r>
      <w:r>
        <w:rPr>
          <w:rFonts w:hint="eastAsia" w:ascii="仿宋" w:hAnsi="仿宋" w:eastAsia="仿宋"/>
          <w:sz w:val="32"/>
          <w:szCs w:val="32"/>
        </w:rPr>
        <w:t>锁经营、特许经营流通方式发展，指导流通领域节能降耗工作;组织大型会议、会展、交流活动。</w:t>
      </w:r>
    </w:p>
    <w:p w14:paraId="333C3CB6">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EAF9037">
      <w:pPr>
        <w:spacing w:line="560" w:lineRule="exact"/>
        <w:ind w:firstLine="640" w:firstLineChars="200"/>
        <w:rPr>
          <w:rFonts w:ascii="仿宋" w:hAnsi="仿宋" w:eastAsia="仿宋"/>
          <w:sz w:val="32"/>
          <w:szCs w:val="32"/>
        </w:rPr>
      </w:pPr>
      <w:r>
        <w:rPr>
          <w:rFonts w:hint="eastAsia" w:ascii="仿宋" w:hAnsi="仿宋" w:eastAsia="仿宋"/>
          <w:sz w:val="32"/>
          <w:szCs w:val="32"/>
        </w:rPr>
        <w:t>根根据部门职责定位和各项工作履职情况进行综合评价，给出</w:t>
      </w:r>
      <w:r>
        <w:rPr>
          <w:rFonts w:hint="eastAsia" w:ascii="仿宋" w:hAnsi="仿宋" w:eastAsia="仿宋"/>
          <w:sz w:val="32"/>
          <w:szCs w:val="32"/>
          <w:lang w:val="en-US" w:eastAsia="zh-CN"/>
        </w:rPr>
        <w:t>我局</w:t>
      </w:r>
      <w:r>
        <w:rPr>
          <w:rFonts w:hint="eastAsia" w:ascii="仿宋" w:hAnsi="仿宋" w:eastAsia="仿宋"/>
          <w:sz w:val="32"/>
          <w:szCs w:val="32"/>
        </w:rPr>
        <w:t>总得分</w:t>
      </w:r>
      <w:r>
        <w:rPr>
          <w:rFonts w:hint="eastAsia" w:ascii="仿宋" w:hAnsi="仿宋" w:eastAsia="仿宋"/>
          <w:sz w:val="32"/>
          <w:szCs w:val="32"/>
          <w:lang w:val="en-US" w:eastAsia="zh-CN"/>
        </w:rPr>
        <w:t>100分，综合绩效评价等级为优秀</w:t>
      </w:r>
      <w:r>
        <w:rPr>
          <w:rFonts w:hint="eastAsia" w:ascii="仿宋" w:hAnsi="仿宋" w:eastAsia="仿宋"/>
          <w:sz w:val="32"/>
          <w:szCs w:val="32"/>
        </w:rPr>
        <w:t>。</w:t>
      </w:r>
    </w:p>
    <w:p w14:paraId="70E1FB67">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EF4EF79">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DF46648">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本级财政当年下达的预算项目资金执行情况都能较好地达到当年的绩效目标，其中石财外（2025）16号下达的2023年便民市场建设工程奖补资金因三家便民市场建设未达到验收条件，无法使用该奖补资金，影响了当年预算支出的绩效目标。</w:t>
      </w:r>
    </w:p>
    <w:p w14:paraId="372E0C11">
      <w:pPr>
        <w:numPr>
          <w:ilvl w:val="0"/>
          <w:numId w:val="3"/>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39A8374D">
      <w:pPr>
        <w:numPr>
          <w:ilvl w:val="0"/>
          <w:numId w:val="0"/>
        </w:numPr>
        <w:spacing w:line="560" w:lineRule="exact"/>
        <w:rPr>
          <w:rFonts w:hint="eastAsia" w:ascii="楷体" w:hAnsi="楷体" w:eastAsia="楷体"/>
          <w:bCs/>
          <w:sz w:val="32"/>
          <w:szCs w:val="32"/>
          <w:lang w:val="en-US" w:eastAsia="zh-CN"/>
        </w:rPr>
      </w:pPr>
      <w:r>
        <w:rPr>
          <w:rFonts w:hint="eastAsia" w:ascii="楷体" w:hAnsi="楷体" w:eastAsia="楷体"/>
          <w:bCs/>
          <w:sz w:val="32"/>
          <w:szCs w:val="32"/>
          <w:lang w:val="en-US" w:eastAsia="zh-CN"/>
        </w:rPr>
        <w:t xml:space="preserve">     </w:t>
      </w:r>
      <w:r>
        <w:rPr>
          <w:rFonts w:hint="eastAsia" w:ascii="仿宋_GB2312" w:hAnsi="仿宋_GB2312" w:eastAsia="仿宋_GB2312" w:cs="仿宋_GB2312"/>
          <w:bCs/>
          <w:sz w:val="32"/>
          <w:szCs w:val="32"/>
          <w:lang w:val="en-US" w:eastAsia="zh-CN"/>
        </w:rPr>
        <w:t>全年预算</w:t>
      </w:r>
      <w:r>
        <w:rPr>
          <w:rFonts w:hint="eastAsia" w:ascii="仿宋_GB2312" w:hAnsi="仿宋_GB2312" w:eastAsia="仿宋_GB2312" w:cs="仿宋_GB2312"/>
          <w:sz w:val="32"/>
          <w:szCs w:val="32"/>
        </w:rPr>
        <w:t>从预算编制与执行、资金分配与使用、资金监督与管理及财务会计信息、项目组织管理</w:t>
      </w:r>
      <w:r>
        <w:rPr>
          <w:rFonts w:hint="eastAsia" w:ascii="仿宋_GB2312" w:hAnsi="仿宋_GB2312" w:eastAsia="仿宋_GB2312" w:cs="仿宋_GB2312"/>
          <w:sz w:val="32"/>
          <w:szCs w:val="32"/>
          <w:lang w:val="en-US" w:eastAsia="zh-CN"/>
        </w:rPr>
        <w:t>再进一步优化，尽力推进全年预算绩效工作科学合理完成。</w:t>
      </w:r>
    </w:p>
    <w:p w14:paraId="7CD12A0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27233A38">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段亚宁，区商务局局长</w:t>
      </w:r>
    </w:p>
    <w:p w14:paraId="1A8A39CF">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刘立强，区商务局副局长</w:t>
      </w:r>
    </w:p>
    <w:p w14:paraId="45B2D2DD">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陈  炜，区商务局会计 </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F523FA">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59D458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3cM7kccBAACmAwAADgAAAAAAAAABACAAAAAeAQAAZHJzL2Uyb0RvYy54&#10;bWxQSwUGAAAAAAYABgBZAQAAVwUAAAAA&#10;">
              <v:fill on="f" focussize="0,0"/>
              <v:stroke on="f"/>
              <v:imagedata o:title=""/>
              <o:lock v:ext="edit" aspectratio="f"/>
              <v:textbox inset="0mm,0mm,0mm,0mm" style="mso-fit-shape-to-text:t;">
                <w:txbxContent>
                  <w:p w14:paraId="359D458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6052B79"/>
    <w:multiLevelType w:val="singleLevel"/>
    <w:tmpl w:val="66052B79"/>
    <w:lvl w:ilvl="0" w:tentative="0">
      <w:start w:val="2"/>
      <w:numFmt w:val="chineseCounting"/>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A27372D"/>
    <w:rsid w:val="0BB63BED"/>
    <w:rsid w:val="0DFF7F26"/>
    <w:rsid w:val="0EB97A43"/>
    <w:rsid w:val="0EBD2122"/>
    <w:rsid w:val="0F214EAE"/>
    <w:rsid w:val="11B71E6A"/>
    <w:rsid w:val="121B539D"/>
    <w:rsid w:val="12993D29"/>
    <w:rsid w:val="157062A0"/>
    <w:rsid w:val="1AAF0063"/>
    <w:rsid w:val="1ADC2595"/>
    <w:rsid w:val="1AE55169"/>
    <w:rsid w:val="1BE140DE"/>
    <w:rsid w:val="2194576A"/>
    <w:rsid w:val="248C197D"/>
    <w:rsid w:val="24D64530"/>
    <w:rsid w:val="252959AF"/>
    <w:rsid w:val="277A6671"/>
    <w:rsid w:val="2888265B"/>
    <w:rsid w:val="292D35B7"/>
    <w:rsid w:val="2A8C78F2"/>
    <w:rsid w:val="2FC449BA"/>
    <w:rsid w:val="2FCA759F"/>
    <w:rsid w:val="33EB6CFF"/>
    <w:rsid w:val="35A12947"/>
    <w:rsid w:val="37387040"/>
    <w:rsid w:val="37A72343"/>
    <w:rsid w:val="386975AB"/>
    <w:rsid w:val="3B625C0A"/>
    <w:rsid w:val="3CEE1963"/>
    <w:rsid w:val="436B78D3"/>
    <w:rsid w:val="43D506AA"/>
    <w:rsid w:val="4C9C27FE"/>
    <w:rsid w:val="512260B4"/>
    <w:rsid w:val="522016A4"/>
    <w:rsid w:val="52BD6ACB"/>
    <w:rsid w:val="53510DE5"/>
    <w:rsid w:val="53850EA5"/>
    <w:rsid w:val="55537534"/>
    <w:rsid w:val="55F63043"/>
    <w:rsid w:val="561A74F1"/>
    <w:rsid w:val="597244E8"/>
    <w:rsid w:val="5EB71C30"/>
    <w:rsid w:val="5FEB0572"/>
    <w:rsid w:val="66AF0CE5"/>
    <w:rsid w:val="69662A9B"/>
    <w:rsid w:val="6AC537CF"/>
    <w:rsid w:val="6E5B14A6"/>
    <w:rsid w:val="711B255E"/>
    <w:rsid w:val="725B43BE"/>
    <w:rsid w:val="72B06342"/>
    <w:rsid w:val="76E03B76"/>
    <w:rsid w:val="7B46290B"/>
    <w:rsid w:val="7BB51E06"/>
    <w:rsid w:val="7C387F7C"/>
    <w:rsid w:val="7E246BAD"/>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1954</Words>
  <Characters>1998</Characters>
  <Lines>4</Lines>
  <Paragraphs>1</Paragraphs>
  <TotalTime>16</TotalTime>
  <ScaleCrop>false</ScaleCrop>
  <LinksUpToDate>false</LinksUpToDate>
  <CharactersWithSpaces>2034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夏日清风</cp:lastModifiedBy>
  <cp:lastPrinted>2024-03-06T07:40:00Z</cp:lastPrinted>
  <dcterms:modified xsi:type="dcterms:W3CDTF">2026-04-30T03:04:48Z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8488E0A715CB48BEBF3719C670065F46_13</vt:lpwstr>
  </property>
  <property fmtid="{D5CDD505-2E9C-101B-9397-08002B2CF9AE}" pid="4" name="KSOTemplateDocerSaveRecord">
    <vt:lpwstr>eyJoZGlkIjoiNDM1OTI4YjQzNDY1YzU4OGRlZTZhMWY2MGQ4N2I4ZGMiLCJ1c2VySWQiOiI3MzQ3ODU1NjMifQ==</vt:lpwstr>
  </property>
</Properties>
</file>