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A47EA1">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1481C05">
      <w:pPr>
        <w:spacing w:line="560" w:lineRule="exact"/>
        <w:jc w:val="center"/>
        <w:rPr>
          <w:rFonts w:ascii="宋体" w:hAnsi="宋体" w:cs="宋体"/>
          <w:b/>
          <w:bCs/>
          <w:sz w:val="44"/>
          <w:szCs w:val="44"/>
        </w:rPr>
      </w:pPr>
    </w:p>
    <w:p w14:paraId="3AB77DBF">
      <w:pPr>
        <w:spacing w:line="560" w:lineRule="exact"/>
        <w:jc w:val="center"/>
        <w:rPr>
          <w:rFonts w:ascii="宋体" w:hAnsi="宋体" w:cs="宋体"/>
          <w:b/>
          <w:bCs/>
          <w:sz w:val="44"/>
          <w:szCs w:val="44"/>
        </w:rPr>
      </w:pPr>
      <w:r>
        <w:rPr>
          <w:rFonts w:hint="eastAsia" w:ascii="宋体" w:hAnsi="宋体" w:cs="宋体"/>
          <w:b/>
          <w:bCs/>
          <w:sz w:val="44"/>
          <w:szCs w:val="44"/>
          <w:lang w:val="en-US" w:eastAsia="zh-CN"/>
        </w:rPr>
        <w:t>人社</w:t>
      </w:r>
      <w:r>
        <w:rPr>
          <w:rFonts w:hint="eastAsia" w:ascii="宋体" w:hAnsi="宋体" w:cs="宋体"/>
          <w:b/>
          <w:bCs/>
          <w:sz w:val="44"/>
          <w:szCs w:val="44"/>
        </w:rPr>
        <w:t>部门</w:t>
      </w:r>
    </w:p>
    <w:p w14:paraId="423F3A1E">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14:paraId="18E02175">
      <w:pPr>
        <w:adjustRightInd w:val="0"/>
        <w:snapToGrid w:val="0"/>
        <w:spacing w:line="560" w:lineRule="exact"/>
        <w:ind w:firstLine="640" w:firstLineChars="200"/>
        <w:rPr>
          <w:rFonts w:hint="eastAsia" w:ascii="黑体" w:hAnsi="黑体" w:eastAsia="黑体"/>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政府《关于全面落实预算绩效管理的实施意见》（新华发〔2019〕9号）文件精神，遵循“科学性、规范性、客观性和公正性”的原则，对</w:t>
      </w:r>
      <w:r>
        <w:rPr>
          <w:rFonts w:hint="eastAsia" w:ascii="仿宋_GB2312" w:hAnsi="仿宋_GB2312" w:eastAsia="仿宋_GB2312" w:cs="仿宋_GB2312"/>
          <w:sz w:val="32"/>
          <w:szCs w:val="32"/>
          <w:lang w:val="en-US" w:eastAsia="zh-CN"/>
        </w:rPr>
        <w:t>人社</w:t>
      </w:r>
      <w:r>
        <w:rPr>
          <w:rFonts w:hint="eastAsia" w:ascii="仿宋_GB2312" w:hAnsi="仿宋_GB2312" w:eastAsia="仿宋_GB2312" w:cs="仿宋_GB2312"/>
          <w:sz w:val="32"/>
          <w:szCs w:val="32"/>
        </w:rPr>
        <w:t>部门202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 xml:space="preserve">年整体支出情况实施了财政支出绩效自评价，形成本评价报告。 </w:t>
      </w:r>
      <w:r>
        <w:rPr>
          <w:rFonts w:hint="eastAsia" w:ascii="黑体" w:hAnsi="黑体" w:eastAsia="黑体"/>
          <w:sz w:val="32"/>
          <w:szCs w:val="32"/>
        </w:rPr>
        <w:t xml:space="preserve"> </w:t>
      </w:r>
    </w:p>
    <w:p w14:paraId="4760E022">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9BF95A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766C018">
      <w:pPr>
        <w:spacing w:line="50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部门职能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kern w:val="2"/>
          <w:sz w:val="32"/>
          <w:szCs w:val="32"/>
          <w:lang w:val="en-US" w:eastAsia="zh-CN" w:bidi="ar-SA"/>
        </w:rPr>
        <w:t>制定全区专业技术人员管理和继续教育政策，综合管理全区职称工作；事业单位人事管理，负责人事考试和事业单位岗位设置管理；会同有关部门拟订全区企事业单位人员工资收入分配政策，建立全区企事业单位人员工资正常增长和支付保障机制，拟订全区企事业单位人员福利和离退休政策，并负责组织实施和监督检查；统筹拟订劳动、人事争议调解仲裁制度和劳动关系政策，完善劳动关系协调机制，制定消除非法使用童工政策和女工、未成年工的特殊劳动保护政策，组织实施劳动监察，协调劳动者维权工作，依法查处重大案件；综合协调局机关及所属各单位的政务、事务；负责全区企业职工养老保险工作，对全区企业职工养老保险基金进行监管；全区企事业单位职工工伤认定和劳动能力鉴定相关工作及工伤保险工作；负责全区被征地人员养老保险工作；开展人才交流政策咨询，流动人员人事档案代理，协助企业引进人才，推进高校毕业生就业推荐；</w:t>
      </w:r>
      <w:r>
        <w:rPr>
          <w:rFonts w:hint="eastAsia" w:ascii="仿宋_GB2312" w:hAnsi="仿宋_GB2312" w:eastAsia="仿宋_GB2312" w:cs="仿宋_GB2312"/>
          <w:sz w:val="32"/>
          <w:szCs w:val="32"/>
        </w:rPr>
        <w:t>企业养老扩面管理、工伤保险征缴、待遇发放、养老保险征缴、待遇发放、失业保险征缴、待遇发放、劳务派遣人员管理、城乡居民养老保险征缴、待遇发放、机关养老收支缺口补助、国有企业退休人员社会化管理、企业退休人员社会化管理服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负责对高校毕业生、就业创业政策咨询服务及各项就业创业补贴初审、呈报；协助区人社充分开展就业社区的创建，落实奖补资金，对符合条件单位和人员的岗位补贴、社保补贴；对符合条件、资料齐全的借款人，帮助其创业并申请发放创业担保贷款；根据市下达我区的培训计划有针对性的开展培训；负责流动人员人事档案基本公共服务，办理就业登记、失业登记等事宜；针对高校毕业生、就业困难人员、进城务工人员、灵活就业人员召开招聘。</w:t>
      </w:r>
    </w:p>
    <w:p w14:paraId="05F0DE87">
      <w:pPr>
        <w:spacing w:line="50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组织机构</w:t>
      </w:r>
      <w:r>
        <w:rPr>
          <w:rFonts w:hint="eastAsia" w:ascii="仿宋_GB2312" w:hAnsi="仿宋_GB2312" w:eastAsia="仿宋_GB2312" w:cs="仿宋_GB2312"/>
          <w:sz w:val="32"/>
          <w:szCs w:val="32"/>
          <w:lang w:val="en-US" w:eastAsia="zh-CN"/>
        </w:rPr>
        <w:t>情况：我部门设有独立核算事业单位2个，内设3个非独立核算事业单位3个。</w:t>
      </w:r>
    </w:p>
    <w:p w14:paraId="2FFBF09D">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人员</w:t>
      </w:r>
      <w:r>
        <w:rPr>
          <w:rFonts w:hint="eastAsia" w:ascii="仿宋_GB2312" w:hAnsi="仿宋_GB2312" w:eastAsia="仿宋_GB2312" w:cs="仿宋_GB2312"/>
          <w:sz w:val="32"/>
          <w:szCs w:val="32"/>
          <w:lang w:val="en-US" w:eastAsia="zh-CN"/>
        </w:rPr>
        <w:t>情况：2025年年末我部门在职</w:t>
      </w:r>
      <w:r>
        <w:rPr>
          <w:rFonts w:hint="eastAsia" w:ascii="仿宋_GB2312" w:hAnsi="仿宋_GB2312" w:eastAsia="仿宋_GB2312" w:cs="仿宋_GB2312"/>
          <w:sz w:val="32"/>
          <w:szCs w:val="32"/>
        </w:rPr>
        <w:t>人员</w:t>
      </w:r>
      <w:r>
        <w:rPr>
          <w:rFonts w:hint="eastAsia" w:ascii="仿宋_GB2312" w:hAnsi="仿宋_GB2312" w:eastAsia="仿宋_GB2312" w:cs="仿宋_GB2312"/>
          <w:sz w:val="32"/>
          <w:szCs w:val="32"/>
          <w:lang w:val="en-US" w:eastAsia="zh-CN"/>
        </w:rPr>
        <w:t>69人。</w:t>
      </w:r>
    </w:p>
    <w:p w14:paraId="6408C020">
      <w:pPr>
        <w:adjustRightInd w:val="0"/>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4、资产情况：2025年末固定资产原值总827.58万元</w:t>
      </w:r>
      <w:r>
        <w:rPr>
          <w:rFonts w:hint="eastAsia" w:ascii="仿宋_GB2312" w:hAnsi="仿宋_GB2312" w:eastAsia="仿宋_GB2312" w:cs="仿宋_GB2312"/>
          <w:color w:val="auto"/>
          <w:sz w:val="32"/>
          <w:szCs w:val="32"/>
        </w:rPr>
        <w:t>。</w:t>
      </w:r>
    </w:p>
    <w:p w14:paraId="3AC8407A">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0594F33D">
      <w:pPr>
        <w:adjustRightInd w:val="0"/>
        <w:snapToGrid w:val="0"/>
        <w:spacing w:line="560" w:lineRule="exact"/>
        <w:ind w:firstLine="640" w:firstLineChars="200"/>
        <w:rPr>
          <w:rFonts w:hint="eastAsia" w:ascii="楷体" w:hAnsi="楷体" w:eastAsia="楷体" w:cs="楷体_GB2312"/>
          <w:bCs/>
          <w:color w:val="auto"/>
          <w:sz w:val="32"/>
          <w:szCs w:val="32"/>
        </w:rPr>
      </w:pPr>
      <w:r>
        <w:rPr>
          <w:rFonts w:hint="eastAsia" w:ascii="仿宋_GB2312" w:hAnsi="华文仿宋" w:eastAsia="仿宋_GB2312"/>
          <w:color w:val="auto"/>
          <w:sz w:val="32"/>
          <w:szCs w:val="32"/>
        </w:rPr>
        <w:t>202</w:t>
      </w:r>
      <w:r>
        <w:rPr>
          <w:rFonts w:hint="eastAsia" w:ascii="仿宋_GB2312" w:hAnsi="华文仿宋" w:eastAsia="仿宋_GB2312"/>
          <w:color w:val="auto"/>
          <w:sz w:val="32"/>
          <w:szCs w:val="32"/>
          <w:lang w:val="en-US" w:eastAsia="zh-CN"/>
        </w:rPr>
        <w:t>5</w:t>
      </w:r>
      <w:r>
        <w:rPr>
          <w:rFonts w:hint="eastAsia" w:ascii="仿宋_GB2312" w:hAnsi="华文仿宋" w:eastAsia="仿宋_GB2312"/>
          <w:color w:val="auto"/>
          <w:sz w:val="32"/>
          <w:szCs w:val="32"/>
        </w:rPr>
        <w:t>年度我</w:t>
      </w:r>
      <w:r>
        <w:rPr>
          <w:rFonts w:hint="eastAsia" w:ascii="仿宋_GB2312" w:hAnsi="华文仿宋" w:eastAsia="仿宋_GB2312"/>
          <w:color w:val="auto"/>
          <w:sz w:val="32"/>
          <w:szCs w:val="32"/>
          <w:lang w:val="en-US" w:eastAsia="zh-CN"/>
        </w:rPr>
        <w:t>部门</w:t>
      </w:r>
      <w:r>
        <w:rPr>
          <w:rFonts w:hint="eastAsia" w:ascii="仿宋_GB2312" w:hAnsi="华文仿宋" w:eastAsia="仿宋_GB2312"/>
          <w:color w:val="auto"/>
          <w:sz w:val="32"/>
          <w:szCs w:val="32"/>
        </w:rPr>
        <w:t>总项目预算金额为</w:t>
      </w:r>
      <w:r>
        <w:rPr>
          <w:rFonts w:hint="eastAsia" w:ascii="仿宋_GB2312" w:hAnsi="华文仿宋" w:eastAsia="仿宋_GB2312"/>
          <w:color w:val="auto"/>
          <w:sz w:val="32"/>
          <w:szCs w:val="32"/>
          <w:lang w:val="en-US" w:eastAsia="zh-CN"/>
        </w:rPr>
        <w:t>28616.36</w:t>
      </w:r>
      <w:r>
        <w:rPr>
          <w:rFonts w:hint="eastAsia" w:ascii="仿宋_GB2312" w:hAnsi="华文仿宋" w:eastAsia="仿宋_GB2312"/>
          <w:color w:val="auto"/>
          <w:sz w:val="32"/>
          <w:szCs w:val="32"/>
        </w:rPr>
        <w:t>万元，总项目预算执行金额为</w:t>
      </w:r>
      <w:r>
        <w:rPr>
          <w:rFonts w:hint="eastAsia" w:ascii="仿宋_GB2312" w:hAnsi="华文仿宋" w:eastAsia="仿宋_GB2312"/>
          <w:color w:val="auto"/>
          <w:sz w:val="32"/>
          <w:szCs w:val="32"/>
          <w:lang w:val="en-US" w:eastAsia="zh-CN"/>
        </w:rPr>
        <w:t>28052</w:t>
      </w:r>
      <w:r>
        <w:rPr>
          <w:rFonts w:hint="eastAsia" w:ascii="仿宋_GB2312" w:hAnsi="华文仿宋" w:eastAsia="仿宋_GB2312"/>
          <w:color w:val="auto"/>
          <w:sz w:val="32"/>
          <w:szCs w:val="32"/>
        </w:rPr>
        <w:t>万元。</w:t>
      </w:r>
    </w:p>
    <w:p w14:paraId="5B91366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854E373">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参照部门预算绩效文本中绩效目标、指标。</w:t>
      </w:r>
      <w:r>
        <w:rPr>
          <w:rFonts w:hint="eastAsia" w:ascii="仿宋_GB2312" w:hAnsi="仿宋_GB2312" w:eastAsia="仿宋_GB2312" w:cs="仿宋_GB2312"/>
          <w:sz w:val="32"/>
          <w:szCs w:val="32"/>
          <w:lang w:val="en-US" w:eastAsia="zh-CN"/>
        </w:rPr>
        <w:t>2025年我部门全员将继续立足本职岗位、落实责任分工、求真务实，做好人社领域工作，全面完成各项工作任务和指标；提高经办管理服务能力，加强经办管理服务体系建设，开展优质便民服务；严控“三公经费”和重点费用开支，在往年支出基础上不增长；严格执行国家财务制度和财经纪律，加强资金使用监管，确保资金安全。</w:t>
      </w:r>
    </w:p>
    <w:p w14:paraId="2A87747C">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2735BB9">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F0096C9">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2"/>
          <w:sz w:val="32"/>
          <w:szCs w:val="32"/>
        </w:rPr>
        <w:t>我</w:t>
      </w:r>
      <w:r>
        <w:rPr>
          <w:rFonts w:hint="eastAsia" w:ascii="仿宋_GB2312" w:hAnsi="仿宋_GB2312" w:eastAsia="仿宋_GB2312" w:cs="仿宋_GB2312"/>
          <w:kern w:val="2"/>
          <w:sz w:val="32"/>
          <w:szCs w:val="32"/>
          <w:lang w:val="en-US" w:eastAsia="zh-CN"/>
        </w:rPr>
        <w:t>部门</w:t>
      </w:r>
      <w:r>
        <w:rPr>
          <w:rFonts w:hint="eastAsia" w:ascii="仿宋_GB2312" w:hAnsi="仿宋_GB2312" w:eastAsia="仿宋_GB2312" w:cs="仿宋_GB2312"/>
          <w:kern w:val="2"/>
          <w:sz w:val="32"/>
          <w:szCs w:val="32"/>
        </w:rPr>
        <w:t>对202</w:t>
      </w:r>
      <w:r>
        <w:rPr>
          <w:rFonts w:hint="eastAsia" w:ascii="仿宋_GB2312" w:hAnsi="仿宋_GB2312" w:eastAsia="仿宋_GB2312" w:cs="仿宋_GB2312"/>
          <w:kern w:val="2"/>
          <w:sz w:val="32"/>
          <w:szCs w:val="32"/>
          <w:lang w:val="en-US" w:eastAsia="zh-CN"/>
        </w:rPr>
        <w:t>5</w:t>
      </w:r>
      <w:r>
        <w:rPr>
          <w:rFonts w:hint="eastAsia" w:ascii="仿宋_GB2312" w:hAnsi="仿宋_GB2312" w:eastAsia="仿宋_GB2312" w:cs="仿宋_GB2312"/>
          <w:kern w:val="2"/>
          <w:sz w:val="32"/>
          <w:szCs w:val="32"/>
        </w:rPr>
        <w:t>年度各项经费绩效目标自评工作高度重视。一是提高站位，充分认识搞好经费绩效自评工作的及时性、必要性和重要性，</w:t>
      </w:r>
      <w:r>
        <w:rPr>
          <w:rFonts w:hint="eastAsia" w:ascii="仿宋_GB2312" w:hAnsi="仿宋_GB2312" w:eastAsia="仿宋_GB2312" w:cs="仿宋_GB2312"/>
          <w:sz w:val="32"/>
          <w:szCs w:val="32"/>
        </w:rPr>
        <w:t>有效完善预算资金管理，绩效管理，全面发挥预算绩效指标体系管理，确保促进各项工作有力推进。</w:t>
      </w:r>
      <w:r>
        <w:rPr>
          <w:rFonts w:hint="eastAsia" w:ascii="仿宋_GB2312" w:hAnsi="仿宋_GB2312" w:eastAsia="仿宋_GB2312" w:cs="仿宋_GB2312"/>
          <w:kern w:val="2"/>
          <w:sz w:val="32"/>
          <w:szCs w:val="32"/>
        </w:rPr>
        <w:t>二是组织工作人员认真学习绩效自评的有关规定，增强绩效自评工作效率。三是对202</w:t>
      </w:r>
      <w:r>
        <w:rPr>
          <w:rFonts w:hint="eastAsia" w:ascii="仿宋_GB2312" w:hAnsi="仿宋_GB2312" w:eastAsia="仿宋_GB2312" w:cs="仿宋_GB2312"/>
          <w:kern w:val="2"/>
          <w:sz w:val="32"/>
          <w:szCs w:val="32"/>
          <w:lang w:val="en-US" w:eastAsia="zh-CN"/>
        </w:rPr>
        <w:t>5</w:t>
      </w:r>
      <w:r>
        <w:rPr>
          <w:rFonts w:hint="eastAsia" w:ascii="仿宋_GB2312" w:hAnsi="仿宋_GB2312" w:eastAsia="仿宋_GB2312" w:cs="仿宋_GB2312"/>
          <w:kern w:val="2"/>
          <w:sz w:val="32"/>
          <w:szCs w:val="32"/>
        </w:rPr>
        <w:t>年度各项经费在预算安排、资金分配拨付、日常财务管理等方面情况进行“回头看”，未发现工作经费违规现象</w:t>
      </w:r>
      <w:r>
        <w:rPr>
          <w:rFonts w:hint="eastAsia" w:ascii="仿宋_GB2312" w:hAnsi="仿宋_GB2312" w:eastAsia="仿宋_GB2312" w:cs="仿宋_GB2312"/>
          <w:sz w:val="32"/>
          <w:szCs w:val="32"/>
        </w:rPr>
        <w:t>。</w:t>
      </w:r>
    </w:p>
    <w:p w14:paraId="386F263F">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79822F0">
      <w:pPr>
        <w:numPr>
          <w:ilvl w:val="0"/>
          <w:numId w:val="0"/>
        </w:num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按通知要求，我</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调集</w:t>
      </w:r>
      <w:r>
        <w:rPr>
          <w:rFonts w:hint="eastAsia" w:ascii="仿宋_GB2312" w:hAnsi="仿宋_GB2312" w:eastAsia="仿宋_GB2312" w:cs="仿宋_GB2312"/>
          <w:sz w:val="32"/>
          <w:szCs w:val="32"/>
          <w:lang w:val="en-US" w:eastAsia="zh-CN"/>
        </w:rPr>
        <w:t>所属事业单位、内设科室</w:t>
      </w:r>
      <w:r>
        <w:rPr>
          <w:rFonts w:hint="eastAsia" w:ascii="仿宋_GB2312" w:hAnsi="仿宋_GB2312" w:eastAsia="仿宋_GB2312" w:cs="仿宋_GB2312"/>
          <w:sz w:val="32"/>
          <w:szCs w:val="32"/>
        </w:rPr>
        <w:t>，成立绩效评价小组，安排部署绩效工作，认真学习绩效管理评价相关文件，按财政局要求严格认真开展绩效目标自评工作。</w:t>
      </w:r>
    </w:p>
    <w:p w14:paraId="78447215">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0EEF27F">
      <w:pPr>
        <w:numPr>
          <w:ilvl w:val="0"/>
          <w:numId w:val="2"/>
        </w:numPr>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总体绩效目标实现情况</w:t>
      </w:r>
    </w:p>
    <w:p w14:paraId="2E3A6DA7">
      <w:pPr>
        <w:adjustRightInd w:val="0"/>
        <w:snapToGrid w:val="0"/>
        <w:spacing w:line="560" w:lineRule="exact"/>
        <w:ind w:firstLine="640" w:firstLineChars="200"/>
        <w:rPr>
          <w:rFonts w:hint="eastAsia" w:ascii="楷体" w:hAnsi="楷体" w:eastAsia="楷体" w:cs="楷体_GB2312"/>
          <w:bCs/>
          <w:color w:val="auto"/>
          <w:sz w:val="32"/>
          <w:szCs w:val="32"/>
        </w:rPr>
      </w:pPr>
      <w:r>
        <w:rPr>
          <w:rFonts w:hint="eastAsia" w:ascii="仿宋_GB2312" w:hAnsi="华文仿宋" w:eastAsia="仿宋_GB2312"/>
          <w:color w:val="auto"/>
          <w:sz w:val="32"/>
          <w:szCs w:val="32"/>
        </w:rPr>
        <w:t>202</w:t>
      </w:r>
      <w:r>
        <w:rPr>
          <w:rFonts w:hint="eastAsia" w:ascii="仿宋_GB2312" w:hAnsi="华文仿宋" w:eastAsia="仿宋_GB2312"/>
          <w:color w:val="auto"/>
          <w:sz w:val="32"/>
          <w:szCs w:val="32"/>
          <w:lang w:val="en-US" w:eastAsia="zh-CN"/>
        </w:rPr>
        <w:t>5</w:t>
      </w:r>
      <w:r>
        <w:rPr>
          <w:rFonts w:hint="eastAsia" w:ascii="仿宋_GB2312" w:hAnsi="华文仿宋" w:eastAsia="仿宋_GB2312"/>
          <w:color w:val="auto"/>
          <w:sz w:val="32"/>
          <w:szCs w:val="32"/>
        </w:rPr>
        <w:t>年度我</w:t>
      </w:r>
      <w:r>
        <w:rPr>
          <w:rFonts w:hint="eastAsia" w:ascii="仿宋_GB2312" w:hAnsi="华文仿宋" w:eastAsia="仿宋_GB2312"/>
          <w:color w:val="auto"/>
          <w:sz w:val="32"/>
          <w:szCs w:val="32"/>
          <w:lang w:val="en-US" w:eastAsia="zh-CN"/>
        </w:rPr>
        <w:t>部门</w:t>
      </w:r>
      <w:r>
        <w:rPr>
          <w:rFonts w:hint="eastAsia" w:ascii="仿宋_GB2312" w:hAnsi="华文仿宋" w:eastAsia="仿宋_GB2312"/>
          <w:color w:val="auto"/>
          <w:sz w:val="32"/>
          <w:szCs w:val="32"/>
        </w:rPr>
        <w:t>总项目预算金额为</w:t>
      </w:r>
      <w:r>
        <w:rPr>
          <w:rFonts w:hint="eastAsia" w:ascii="仿宋_GB2312" w:hAnsi="华文仿宋" w:eastAsia="仿宋_GB2312"/>
          <w:color w:val="auto"/>
          <w:sz w:val="32"/>
          <w:szCs w:val="32"/>
          <w:lang w:val="en-US" w:eastAsia="zh-CN"/>
        </w:rPr>
        <w:t>28616.36</w:t>
      </w:r>
      <w:r>
        <w:rPr>
          <w:rFonts w:hint="eastAsia" w:ascii="仿宋_GB2312" w:hAnsi="华文仿宋" w:eastAsia="仿宋_GB2312"/>
          <w:color w:val="auto"/>
          <w:sz w:val="32"/>
          <w:szCs w:val="32"/>
        </w:rPr>
        <w:t>万元，总项目预算执行金额为</w:t>
      </w:r>
      <w:r>
        <w:rPr>
          <w:rFonts w:hint="eastAsia" w:ascii="仿宋_GB2312" w:hAnsi="华文仿宋" w:eastAsia="仿宋_GB2312"/>
          <w:color w:val="auto"/>
          <w:sz w:val="32"/>
          <w:szCs w:val="32"/>
          <w:lang w:val="en-US" w:eastAsia="zh-CN"/>
        </w:rPr>
        <w:t>28052</w:t>
      </w:r>
      <w:r>
        <w:rPr>
          <w:rFonts w:hint="eastAsia" w:ascii="仿宋_GB2312" w:hAnsi="华文仿宋" w:eastAsia="仿宋_GB2312"/>
          <w:color w:val="auto"/>
          <w:sz w:val="32"/>
          <w:szCs w:val="32"/>
        </w:rPr>
        <w:t>万元</w:t>
      </w:r>
      <w:r>
        <w:rPr>
          <w:rFonts w:hint="eastAsia" w:ascii="仿宋_GB2312" w:hAnsi="华文仿宋" w:eastAsia="仿宋_GB2312"/>
          <w:color w:val="auto"/>
          <w:sz w:val="32"/>
          <w:szCs w:val="32"/>
          <w:lang w:eastAsia="zh-CN"/>
        </w:rPr>
        <w:t>，</w:t>
      </w:r>
      <w:r>
        <w:rPr>
          <w:rFonts w:hint="eastAsia" w:ascii="仿宋_GB2312" w:hAnsi="华文仿宋" w:eastAsia="仿宋_GB2312"/>
          <w:color w:val="auto"/>
          <w:sz w:val="32"/>
          <w:szCs w:val="32"/>
          <w:lang w:val="en-US" w:eastAsia="zh-CN"/>
        </w:rPr>
        <w:t>完成预算执行率98.03</w:t>
      </w:r>
      <w:bookmarkStart w:id="0" w:name="_GoBack"/>
      <w:bookmarkEnd w:id="0"/>
      <w:r>
        <w:rPr>
          <w:rFonts w:hint="eastAsia" w:ascii="仿宋_GB2312" w:hAnsi="华文仿宋" w:eastAsia="仿宋_GB2312"/>
          <w:color w:val="auto"/>
          <w:sz w:val="32"/>
          <w:szCs w:val="32"/>
          <w:lang w:val="en-US" w:eastAsia="zh-CN"/>
        </w:rPr>
        <w:t>%</w:t>
      </w:r>
      <w:r>
        <w:rPr>
          <w:rFonts w:hint="eastAsia" w:ascii="仿宋_GB2312" w:hAnsi="华文仿宋" w:eastAsia="仿宋_GB2312"/>
          <w:color w:val="auto"/>
          <w:sz w:val="32"/>
          <w:szCs w:val="32"/>
        </w:rPr>
        <w:t>。</w:t>
      </w:r>
    </w:p>
    <w:p w14:paraId="27657831">
      <w:pPr>
        <w:spacing w:line="560" w:lineRule="exact"/>
        <w:rPr>
          <w:rFonts w:ascii="楷体" w:hAnsi="楷体" w:eastAsia="楷体"/>
          <w:bCs/>
          <w:color w:val="auto"/>
          <w:sz w:val="32"/>
          <w:szCs w:val="32"/>
        </w:rPr>
      </w:pPr>
      <w:r>
        <w:rPr>
          <w:rFonts w:hint="eastAsia" w:ascii="仿宋" w:hAnsi="仿宋" w:eastAsia="仿宋" w:cs="楷体_GB2312"/>
          <w:b/>
          <w:bCs/>
          <w:color w:val="auto"/>
          <w:sz w:val="32"/>
          <w:szCs w:val="32"/>
        </w:rPr>
        <w:t xml:space="preserve">    </w:t>
      </w:r>
      <w:r>
        <w:rPr>
          <w:rFonts w:hint="eastAsia" w:ascii="楷体" w:hAnsi="楷体" w:eastAsia="楷体" w:cs="楷体_GB2312"/>
          <w:bCs/>
          <w:color w:val="auto"/>
          <w:sz w:val="32"/>
          <w:szCs w:val="32"/>
        </w:rPr>
        <w:t>（二）分项绩效目标实现情况及指标分析</w:t>
      </w:r>
    </w:p>
    <w:p w14:paraId="40C3EB94">
      <w:pPr>
        <w:adjustRightInd w:val="0"/>
        <w:snapToGrid w:val="0"/>
        <w:spacing w:line="560" w:lineRule="exact"/>
        <w:ind w:firstLine="640" w:firstLineChars="200"/>
        <w:jc w:val="both"/>
        <w:rPr>
          <w:rFonts w:ascii="仿宋" w:hAnsi="仿宋" w:eastAsia="仿宋"/>
          <w:color w:val="auto"/>
          <w:sz w:val="32"/>
          <w:szCs w:val="32"/>
        </w:rPr>
      </w:pPr>
      <w:r>
        <w:rPr>
          <w:rFonts w:hint="eastAsia" w:ascii="仿宋_GB2312" w:hAnsi="华文仿宋" w:eastAsia="仿宋_GB2312"/>
          <w:color w:val="auto"/>
          <w:sz w:val="32"/>
          <w:szCs w:val="32"/>
        </w:rPr>
        <w:t>202</w:t>
      </w:r>
      <w:r>
        <w:rPr>
          <w:rFonts w:hint="eastAsia" w:ascii="仿宋_GB2312" w:hAnsi="华文仿宋" w:eastAsia="仿宋_GB2312"/>
          <w:color w:val="auto"/>
          <w:sz w:val="32"/>
          <w:szCs w:val="32"/>
          <w:lang w:val="en-US" w:eastAsia="zh-CN"/>
        </w:rPr>
        <w:t>5</w:t>
      </w:r>
      <w:r>
        <w:rPr>
          <w:rFonts w:hint="eastAsia" w:ascii="仿宋_GB2312" w:hAnsi="华文仿宋" w:eastAsia="仿宋_GB2312"/>
          <w:color w:val="auto"/>
          <w:sz w:val="32"/>
          <w:szCs w:val="32"/>
        </w:rPr>
        <w:t>年度</w:t>
      </w:r>
      <w:r>
        <w:rPr>
          <w:rFonts w:hint="eastAsia" w:ascii="仿宋_GB2312" w:hAnsi="华文仿宋" w:eastAsia="仿宋_GB2312"/>
          <w:color w:val="auto"/>
          <w:sz w:val="32"/>
          <w:szCs w:val="32"/>
          <w:lang w:val="en-US" w:eastAsia="zh-CN"/>
        </w:rPr>
        <w:t>本部门</w:t>
      </w:r>
      <w:r>
        <w:rPr>
          <w:rFonts w:hint="eastAsia" w:ascii="仿宋_GB2312" w:hAnsi="华文仿宋" w:eastAsia="仿宋_GB2312"/>
          <w:color w:val="auto"/>
          <w:sz w:val="32"/>
          <w:szCs w:val="32"/>
        </w:rPr>
        <w:t>通过对</w:t>
      </w:r>
      <w:r>
        <w:rPr>
          <w:rFonts w:hint="eastAsia" w:ascii="仿宋_GB2312" w:hAnsi="华文仿宋" w:eastAsia="仿宋_GB2312"/>
          <w:color w:val="auto"/>
          <w:sz w:val="32"/>
          <w:szCs w:val="32"/>
          <w:lang w:val="en-US" w:eastAsia="zh-CN"/>
        </w:rPr>
        <w:t>52</w:t>
      </w:r>
      <w:r>
        <w:rPr>
          <w:rFonts w:hint="eastAsia" w:ascii="仿宋_GB2312" w:hAnsi="华文仿宋" w:eastAsia="仿宋_GB2312"/>
          <w:color w:val="auto"/>
          <w:sz w:val="32"/>
          <w:szCs w:val="32"/>
        </w:rPr>
        <w:t>个项目绩效自评结果对比倒查的绩效目标设定情况，可以发现绩效目标设定基本清晰准确，绩效指标基本全面完整、科学合理，绩效标准恰当适宜、易于评价。202</w:t>
      </w:r>
      <w:r>
        <w:rPr>
          <w:rFonts w:hint="eastAsia" w:ascii="仿宋_GB2312" w:hAnsi="华文仿宋" w:eastAsia="仿宋_GB2312"/>
          <w:color w:val="auto"/>
          <w:sz w:val="32"/>
          <w:szCs w:val="32"/>
          <w:lang w:val="en-US" w:eastAsia="zh-CN"/>
        </w:rPr>
        <w:t>5</w:t>
      </w:r>
      <w:r>
        <w:rPr>
          <w:rFonts w:hint="eastAsia" w:ascii="仿宋_GB2312" w:hAnsi="华文仿宋" w:eastAsia="仿宋_GB2312"/>
          <w:color w:val="auto"/>
          <w:sz w:val="32"/>
          <w:szCs w:val="32"/>
        </w:rPr>
        <w:t>年度</w:t>
      </w:r>
      <w:r>
        <w:rPr>
          <w:rFonts w:hint="eastAsia" w:ascii="仿宋_GB2312" w:hAnsi="华文仿宋" w:eastAsia="仿宋_GB2312"/>
          <w:color w:val="auto"/>
          <w:sz w:val="32"/>
          <w:szCs w:val="32"/>
          <w:lang w:val="en-US" w:eastAsia="zh-CN"/>
        </w:rPr>
        <w:t>本部门</w:t>
      </w:r>
      <w:r>
        <w:rPr>
          <w:rFonts w:hint="eastAsia" w:ascii="仿宋_GB2312" w:hAnsi="华文仿宋" w:eastAsia="仿宋_GB2312"/>
          <w:color w:val="auto"/>
          <w:sz w:val="32"/>
          <w:szCs w:val="32"/>
        </w:rPr>
        <w:t>各项目</w:t>
      </w:r>
      <w:r>
        <w:rPr>
          <w:rFonts w:hint="eastAsia" w:ascii="仿宋" w:hAnsi="仿宋" w:eastAsia="仿宋" w:cs="仿宋"/>
          <w:color w:val="auto"/>
          <w:sz w:val="32"/>
          <w:szCs w:val="32"/>
          <w:lang w:val="zh-CN"/>
        </w:rPr>
        <w:t>总体完成情况优秀，预期绩效目标基本完成</w:t>
      </w:r>
      <w:r>
        <w:rPr>
          <w:rFonts w:hint="eastAsia" w:ascii="仿宋_GB2312" w:hAnsi="华文仿宋" w:eastAsia="仿宋_GB2312"/>
          <w:color w:val="auto"/>
          <w:sz w:val="32"/>
          <w:szCs w:val="32"/>
        </w:rPr>
        <w:t>。202</w:t>
      </w:r>
      <w:r>
        <w:rPr>
          <w:rFonts w:hint="eastAsia" w:ascii="仿宋_GB2312" w:hAnsi="华文仿宋" w:eastAsia="仿宋_GB2312"/>
          <w:color w:val="auto"/>
          <w:sz w:val="32"/>
          <w:szCs w:val="32"/>
          <w:lang w:val="en-US" w:eastAsia="zh-CN"/>
        </w:rPr>
        <w:t>5</w:t>
      </w:r>
      <w:r>
        <w:rPr>
          <w:rFonts w:hint="eastAsia" w:ascii="仿宋_GB2312" w:hAnsi="华文仿宋" w:eastAsia="仿宋_GB2312"/>
          <w:color w:val="auto"/>
          <w:sz w:val="32"/>
          <w:szCs w:val="32"/>
        </w:rPr>
        <w:t>年度</w:t>
      </w:r>
      <w:r>
        <w:rPr>
          <w:rFonts w:hint="eastAsia" w:ascii="仿宋_GB2312" w:hAnsi="华文仿宋" w:eastAsia="仿宋_GB2312"/>
          <w:color w:val="auto"/>
          <w:sz w:val="32"/>
          <w:szCs w:val="32"/>
          <w:lang w:val="en-US" w:eastAsia="zh-CN"/>
        </w:rPr>
        <w:t>本部门就业服务</w:t>
      </w:r>
      <w:r>
        <w:rPr>
          <w:rFonts w:hint="eastAsia" w:ascii="仿宋_GB2312" w:hAnsi="华文仿宋" w:eastAsia="仿宋_GB2312"/>
          <w:color w:val="auto"/>
          <w:sz w:val="32"/>
          <w:szCs w:val="32"/>
        </w:rPr>
        <w:t>中心预算项目中</w:t>
      </w:r>
      <w:r>
        <w:rPr>
          <w:rFonts w:hint="eastAsia" w:ascii="仿宋_GB2312" w:hAnsi="华文仿宋" w:eastAsia="仿宋_GB2312"/>
          <w:color w:val="auto"/>
          <w:sz w:val="32"/>
          <w:szCs w:val="32"/>
          <w:lang w:val="en-US" w:eastAsia="zh-CN"/>
        </w:rPr>
        <w:t>个别</w:t>
      </w:r>
      <w:r>
        <w:rPr>
          <w:rFonts w:hint="eastAsia" w:ascii="仿宋_GB2312" w:hAnsi="华文仿宋" w:eastAsia="仿宋_GB2312"/>
          <w:color w:val="auto"/>
          <w:sz w:val="32"/>
          <w:szCs w:val="32"/>
        </w:rPr>
        <w:t>项目预算执行率偏低，原因是</w:t>
      </w:r>
      <w:r>
        <w:rPr>
          <w:rFonts w:hint="eastAsia" w:ascii="仿宋_GB2312" w:hAnsi="仿宋" w:eastAsia="仿宋_GB2312"/>
          <w:color w:val="auto"/>
          <w:sz w:val="32"/>
          <w:szCs w:val="32"/>
        </w:rPr>
        <w:t>我区创业担保贷款业务</w:t>
      </w:r>
      <w:r>
        <w:rPr>
          <w:rFonts w:hint="eastAsia" w:ascii="仿宋_GB2312" w:hAnsi="Verdana" w:eastAsia="仿宋_GB2312"/>
          <w:color w:val="auto"/>
          <w:sz w:val="32"/>
          <w:szCs w:val="32"/>
        </w:rPr>
        <w:t>由区就业服务中心负责对贷款申请予以初审，借款人向市担保中心和经办银行提出担保、贷款申请；市担保中心、经办银行对借款人进行调查、审核，为借款人担保并签订反担保协议。创业担保贷款基金及对当地金融网点奖励由市担保中心安排。</w:t>
      </w:r>
      <w:r>
        <w:rPr>
          <w:rFonts w:hint="eastAsia" w:ascii="仿宋_GB2312" w:hAnsi="仿宋" w:eastAsia="仿宋_GB2312"/>
          <w:color w:val="auto"/>
          <w:sz w:val="32"/>
          <w:szCs w:val="32"/>
        </w:rPr>
        <w:t>创业担保贷款政策，贷款人个人需负担</w:t>
      </w:r>
      <w:r>
        <w:rPr>
          <w:rFonts w:hint="eastAsia" w:ascii="仿宋_GB2312" w:hAnsi="仿宋" w:eastAsia="仿宋_GB2312"/>
          <w:color w:val="auto"/>
          <w:sz w:val="32"/>
          <w:szCs w:val="32"/>
          <w:lang w:val="en-US" w:eastAsia="zh-CN"/>
        </w:rPr>
        <w:t>的</w:t>
      </w:r>
      <w:r>
        <w:rPr>
          <w:rFonts w:hint="eastAsia" w:ascii="仿宋_GB2312" w:hAnsi="仿宋" w:eastAsia="仿宋_GB2312"/>
          <w:color w:val="auto"/>
          <w:sz w:val="32"/>
          <w:szCs w:val="32"/>
        </w:rPr>
        <w:t>贷款利息，与银行正常商业贷款利息相比政策上的优惠力度不够；加上受疫情影响创业意愿不高，目前创业担保贷款业务难以扩大规模。</w:t>
      </w:r>
    </w:p>
    <w:p w14:paraId="75EF8510">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124F98B">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2F4D079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884C959">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422EDB4">
      <w:pPr>
        <w:spacing w:line="560" w:lineRule="exact"/>
        <w:ind w:firstLine="640" w:firstLineChars="200"/>
        <w:rPr>
          <w:rFonts w:hint="eastAsia" w:ascii="楷体" w:hAnsi="楷体" w:eastAsia="楷体"/>
          <w:bCs/>
          <w:sz w:val="32"/>
          <w:szCs w:val="32"/>
        </w:rPr>
      </w:pPr>
      <w:r>
        <w:rPr>
          <w:rFonts w:hint="eastAsia" w:ascii="仿宋_GB2312" w:hAnsi="华文仿宋" w:eastAsia="仿宋_GB2312"/>
          <w:color w:val="333333"/>
          <w:sz w:val="32"/>
          <w:szCs w:val="32"/>
          <w:lang w:val="en-US" w:eastAsia="zh-CN"/>
        </w:rPr>
        <w:t>预算项目支出不够细化，造成部门项目支出率较低。</w:t>
      </w:r>
    </w:p>
    <w:p w14:paraId="1AF571AC">
      <w:pPr>
        <w:adjustRightInd w:val="0"/>
        <w:snapToGrid w:val="0"/>
        <w:spacing w:line="560" w:lineRule="exact"/>
        <w:ind w:firstLine="640" w:firstLineChars="200"/>
        <w:jc w:val="left"/>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66CFEC02">
      <w:pPr>
        <w:adjustRightInd w:val="0"/>
        <w:snapToGrid w:val="0"/>
        <w:spacing w:line="560" w:lineRule="exact"/>
        <w:ind w:firstLine="640" w:firstLineChars="200"/>
        <w:jc w:val="left"/>
        <w:rPr>
          <w:rFonts w:hint="eastAsia" w:ascii="仿宋_GB2312" w:hAnsi="华文仿宋" w:eastAsia="仿宋_GB2312"/>
          <w:color w:val="333333"/>
          <w:sz w:val="32"/>
          <w:szCs w:val="32"/>
        </w:rPr>
      </w:pPr>
      <w:r>
        <w:rPr>
          <w:rFonts w:hint="eastAsia" w:ascii="仿宋_GB2312" w:hAnsi="华文仿宋" w:eastAsia="仿宋_GB2312"/>
          <w:color w:val="333333"/>
          <w:sz w:val="32"/>
          <w:szCs w:val="32"/>
        </w:rPr>
        <w:t>问题提出具体的改进措施，一是完善制度，健全组织机构；二是项目启动、程序运行规范化；三是严格档案资料管理。</w:t>
      </w:r>
    </w:p>
    <w:p w14:paraId="721BE3D6">
      <w:pPr>
        <w:adjustRightInd w:val="0"/>
        <w:snapToGrid w:val="0"/>
        <w:spacing w:line="560" w:lineRule="exact"/>
        <w:ind w:firstLine="640" w:firstLineChars="200"/>
        <w:jc w:val="left"/>
        <w:rPr>
          <w:rFonts w:hint="eastAsia" w:ascii="楷体" w:hAnsi="楷体" w:eastAsia="楷体"/>
          <w:bCs/>
          <w:sz w:val="32"/>
          <w:szCs w:val="32"/>
        </w:rPr>
      </w:pPr>
      <w:r>
        <w:rPr>
          <w:rFonts w:hint="eastAsia" w:ascii="仿宋_GB2312" w:hAnsi="华文仿宋" w:eastAsia="仿宋_GB2312"/>
          <w:color w:val="333333"/>
          <w:sz w:val="32"/>
          <w:szCs w:val="32"/>
        </w:rPr>
        <w:t>加强重点工作的质量管理及结果考核，提高整体效能。严格落实财政专项资金，确保专款专用，加强财务管理，在今后的工作中，对财政资金的资金用途严格审核，对资金的支出明细进行逐笔核查，发现有账务处理不恰当的及时调整。</w:t>
      </w:r>
    </w:p>
    <w:p w14:paraId="4F0454CB">
      <w:pPr>
        <w:spacing w:line="560" w:lineRule="exact"/>
        <w:ind w:firstLine="640" w:firstLineChars="200"/>
        <w:rPr>
          <w:rFonts w:ascii="楷体" w:hAnsi="楷体" w:eastAsia="楷体"/>
          <w:bCs/>
          <w:sz w:val="32"/>
          <w:szCs w:val="32"/>
        </w:rPr>
      </w:pPr>
    </w:p>
    <w:p w14:paraId="18B2F99D">
      <w:pPr>
        <w:adjustRightInd w:val="0"/>
        <w:snapToGrid w:val="0"/>
        <w:spacing w:line="560" w:lineRule="exact"/>
        <w:ind w:firstLine="640" w:firstLineChars="200"/>
        <w:rPr>
          <w:rFonts w:ascii="黑体" w:hAnsi="黑体" w:eastAsia="黑体"/>
          <w:sz w:val="32"/>
          <w:szCs w:val="32"/>
        </w:rPr>
      </w:pPr>
    </w:p>
    <w:p w14:paraId="2D9A23AD">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060CF">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B1A0E9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B1A0E9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B104CA"/>
    <w:rsid w:val="02106AB0"/>
    <w:rsid w:val="02B43A28"/>
    <w:rsid w:val="036B6F50"/>
    <w:rsid w:val="046F331E"/>
    <w:rsid w:val="07956271"/>
    <w:rsid w:val="09721397"/>
    <w:rsid w:val="0BB63BED"/>
    <w:rsid w:val="0EB97A43"/>
    <w:rsid w:val="0EBD2122"/>
    <w:rsid w:val="0F214EAE"/>
    <w:rsid w:val="11B71E6A"/>
    <w:rsid w:val="1AAF0063"/>
    <w:rsid w:val="1B740D26"/>
    <w:rsid w:val="1BE140DE"/>
    <w:rsid w:val="1E542E40"/>
    <w:rsid w:val="248C197D"/>
    <w:rsid w:val="252959AF"/>
    <w:rsid w:val="277A6671"/>
    <w:rsid w:val="292D35B7"/>
    <w:rsid w:val="33EB6CFF"/>
    <w:rsid w:val="35A12947"/>
    <w:rsid w:val="37387040"/>
    <w:rsid w:val="3B625C0A"/>
    <w:rsid w:val="3CEE1963"/>
    <w:rsid w:val="3E146757"/>
    <w:rsid w:val="436B78D3"/>
    <w:rsid w:val="48C35C5E"/>
    <w:rsid w:val="4C9C27FE"/>
    <w:rsid w:val="4FDA70D6"/>
    <w:rsid w:val="502A44B1"/>
    <w:rsid w:val="512260B4"/>
    <w:rsid w:val="52BD6ACB"/>
    <w:rsid w:val="55537534"/>
    <w:rsid w:val="561A74F1"/>
    <w:rsid w:val="58B17416"/>
    <w:rsid w:val="597244E8"/>
    <w:rsid w:val="5C1C584E"/>
    <w:rsid w:val="5EB71C30"/>
    <w:rsid w:val="66AF0CE5"/>
    <w:rsid w:val="675B5D6E"/>
    <w:rsid w:val="68AC2130"/>
    <w:rsid w:val="6AC537CF"/>
    <w:rsid w:val="6E5B14A6"/>
    <w:rsid w:val="711B255E"/>
    <w:rsid w:val="751C1388"/>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Pages>
  <Words>95</Words>
  <Characters>547</Characters>
  <Lines>4</Lines>
  <Paragraphs>1</Paragraphs>
  <TotalTime>50</TotalTime>
  <ScaleCrop>false</ScaleCrop>
  <LinksUpToDate>false</LinksUpToDate>
  <CharactersWithSpaces>641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新华人社</cp:lastModifiedBy>
  <cp:lastPrinted>2026-03-03T01:23:00Z</cp:lastPrinted>
  <dcterms:modified xsi:type="dcterms:W3CDTF">2026-04-29T06:28:18Z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F515F8C9723B4C8DAC30430BC3C518F2</vt:lpwstr>
  </property>
  <property fmtid="{D5CDD505-2E9C-101B-9397-08002B2CF9AE}" pid="4" name="KSOTemplateDocerSaveRecord">
    <vt:lpwstr>eyJoZGlkIjoiMDRiNGJkYjBiMjRiNTM2Zjk5YWM2NmU3YTc2OThjMTYiLCJ1c2VySWQiOiIxMDI2NzA5MTgxIn0=</vt:lpwstr>
  </property>
</Properties>
</file>