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22C21C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附件4</w:t>
      </w:r>
    </w:p>
    <w:p w14:paraId="0658804C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47D4E091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新华区科学技术局</w:t>
      </w:r>
    </w:p>
    <w:p w14:paraId="24A9D888">
      <w:pPr>
        <w:spacing w:line="560" w:lineRule="exact"/>
        <w:jc w:val="center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7DB97C26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49821B4E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贯彻落实区委区政府《关于全面落实预算绩效管理的实施意见》（新华发〔2019〕9号）文件精神，遵循“科学性、规范性、客观性和公正性”的原则，对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新华区科学技术局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104816EB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3E4236F5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194ECA81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2" w:lineRule="exact"/>
        <w:ind w:left="0" w:firstLine="640" w:firstLineChars="200"/>
        <w:jc w:val="lef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一）组织宣传、贯彻落实国家、省、市有关科学技术发展、科技促进经济与社会发展以及知识产权的法律、法规和方针、政策，结合我区实际情况，制定并组织实施本区中、长期科技发展规划、计划，制定具体的政策及实施措施。</w:t>
      </w:r>
    </w:p>
    <w:p w14:paraId="01F258CA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197" w:lineRule="auto"/>
        <w:ind w:left="0" w:firstLine="640" w:firstLineChars="200"/>
        <w:jc w:val="lef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（二）负责全区科技项目管理，做好科技项目的申报、论证、立项和管理工作。</w:t>
      </w:r>
    </w:p>
    <w:p w14:paraId="17BDA6D8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197" w:lineRule="auto"/>
        <w:ind w:left="0" w:firstLine="640" w:firstLineChars="200"/>
        <w:jc w:val="lef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（三）负责做好农村科技工作，协同有关部门推动农业科技进步，每年定期组织好科技下乡等活动。</w:t>
      </w:r>
    </w:p>
    <w:p w14:paraId="315E372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197" w:lineRule="auto"/>
        <w:ind w:left="0" w:firstLine="640" w:firstLineChars="200"/>
        <w:jc w:val="lef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（四）负责管理技术市场，初审科技类民办非企业，组织、协调、管理全区的技术贸易活动。</w:t>
      </w:r>
    </w:p>
    <w:p w14:paraId="3733FA7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197" w:lineRule="auto"/>
        <w:ind w:left="0" w:firstLine="640" w:firstLineChars="200"/>
        <w:jc w:val="lef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（五）牵头负责全区科学技术普及工作。</w:t>
      </w:r>
    </w:p>
    <w:p w14:paraId="4B20B422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197" w:lineRule="auto"/>
        <w:ind w:left="0" w:firstLine="640" w:firstLineChars="200"/>
        <w:jc w:val="lef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（六）负责全区科技信息、科技统计管理工作。</w:t>
      </w:r>
    </w:p>
    <w:p w14:paraId="2F93F64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197" w:lineRule="auto"/>
        <w:ind w:left="0" w:firstLine="640" w:firstLineChars="200"/>
        <w:jc w:val="lef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（七）负责全区“科教兴区”的日常工作。指导、协调区有关部门及各乡镇、街道的科技管理工作。</w:t>
      </w:r>
    </w:p>
    <w:p w14:paraId="18A0124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197" w:lineRule="auto"/>
        <w:ind w:left="0" w:firstLine="640" w:firstLineChars="200"/>
        <w:jc w:val="lef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（八）协同有关部门制订科技人员的政策、法规；组织区科学技术奖和科技工作先进个人的评选奖励工作。</w:t>
      </w:r>
    </w:p>
    <w:p w14:paraId="220A8FE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2" w:lineRule="exact"/>
        <w:ind w:left="0" w:firstLine="640" w:firstLineChars="200"/>
        <w:jc w:val="lef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（九）负责全区应用技术研究与开发专项资金的管理及使用工作。</w:t>
      </w:r>
    </w:p>
    <w:p w14:paraId="3B3D575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196" w:lineRule="auto"/>
        <w:ind w:left="0" w:firstLine="640" w:firstLineChars="200"/>
        <w:jc w:val="lef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（十）承办区委、区政府和上级部门交办的其他事项。</w:t>
      </w:r>
    </w:p>
    <w:p w14:paraId="76EA9D95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</w:p>
    <w:p w14:paraId="21AC68A8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502F5121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2025年预算收入670.99万元，其中：一般公共预算收入509.44万元，上年结余161.5万元；2025年预算支出670.99万元，其中基本支出152.05万元，包括人员经费140.98万元和日常公用经费11.07万元；项目支出518.94万元。</w:t>
      </w:r>
    </w:p>
    <w:p w14:paraId="22C4084E">
      <w:pPr>
        <w:numPr>
          <w:ilvl w:val="0"/>
          <w:numId w:val="1"/>
        </w:numPr>
        <w:adjustRightInd w:val="0"/>
        <w:snapToGrid w:val="0"/>
        <w:spacing w:line="560" w:lineRule="exact"/>
        <w:ind w:left="0" w:leftChars="0"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部门整体支出绩效目标、指标</w:t>
      </w:r>
    </w:p>
    <w:p w14:paraId="6212474B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·  履职保障目标：保障部门机构正常运转、科技管理日常工作高效开展，行政运行保障到位；</w:t>
      </w:r>
    </w:p>
    <w:p w14:paraId="7811BDB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  <w:t>·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 xml:space="preserve">  产出数量目标：全年完成科技企业培育、政策服务、项目申报、创新平台建设、科技交流对接等既定全部工作任务；</w:t>
      </w:r>
    </w:p>
    <w:p w14:paraId="557FF30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  <w:t>·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 xml:space="preserve">  质量控制目标：各项科技管理工作合规率 100%，财政资金使用合规率 100%，工作完成质量达标；</w:t>
      </w:r>
    </w:p>
    <w:p w14:paraId="7E5CD677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  <w:t>·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 xml:space="preserve">  时效目标：全年各项工作按时间节点按期推进，重点任务按时办结率 100%；</w:t>
      </w:r>
    </w:p>
    <w:p w14:paraId="1B334D8C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  <w:t>·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 xml:space="preserve">  效益目标：持续优化区域科技创新环境，壮大创新主体规模，提升科技支撑产业发展能力，实现良好社会效益与可持续发展效益；</w:t>
      </w:r>
    </w:p>
    <w:p w14:paraId="0F15D30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  <w:t>·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 xml:space="preserve">  服务满意度目标：科技市场主体、服务对象综合满意度达到优良等级。</w:t>
      </w:r>
    </w:p>
    <w:p w14:paraId="599EA6EB">
      <w:pPr>
        <w:numPr>
          <w:ilvl w:val="0"/>
          <w:numId w:val="0"/>
        </w:numPr>
        <w:adjustRightInd w:val="0"/>
        <w:snapToGrid w:val="0"/>
        <w:spacing w:line="560" w:lineRule="exact"/>
        <w:ind w:left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</w:p>
    <w:p w14:paraId="2F4A2F6A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75A4F82B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6C1B306D">
      <w:pPr>
        <w:spacing w:line="560" w:lineRule="exact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为保障本次整体支出绩效自评工作严谨、精准开展，本局成立由主要领导任组长、分管领导任副组长、各科室及财务人员为成员的绩效自评专项工作小组，明确职责分工、压实工作责任。全面梳理 2025 年度全部预算批复文件、收支凭证、台账档案、业务工作资料、绩效佐证材料、年度工作总结等全套资料，逐项收集整理、分类归档，确保自评基础资料完整、真实、可追溯。</w:t>
      </w:r>
    </w:p>
    <w:p w14:paraId="75D29E9D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66A289BA">
      <w:pPr>
        <w:spacing w:line="560" w:lineRule="exact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·  对照年初设定的整体绩效目标与各项量化绩效指标，逐项进行对标核查；</w:t>
      </w:r>
    </w:p>
    <w:p w14:paraId="4444E244">
      <w:pPr>
        <w:spacing w:line="560" w:lineRule="exact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  <w:t>·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 xml:space="preserve">  采取台账查阅、数据统计、工作复盘、实地核验、问卷调查相结合的方式开展综合评价；</w:t>
      </w:r>
    </w:p>
    <w:p w14:paraId="03681B2B">
      <w:pPr>
        <w:spacing w:line="560" w:lineRule="exact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  <w:t>·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 xml:space="preserve">  对部门预算执行、履职产出、综合效益、服务满意度等维度逐一量化打分、综合研判；</w:t>
      </w:r>
    </w:p>
    <w:p w14:paraId="7CA1143E">
      <w:pPr>
        <w:spacing w:line="560" w:lineRule="exact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  <w:t>·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 xml:space="preserve">  全面查摆管理亮点与现存短板，坚持实事求是、客观公正，杜绝人为偏差，确保自评结果真实、准确、全面、可靠。</w:t>
      </w:r>
    </w:p>
    <w:p w14:paraId="3E36B948">
      <w:pPr>
        <w:numPr>
          <w:ilvl w:val="0"/>
          <w:numId w:val="0"/>
        </w:numPr>
        <w:spacing w:line="560" w:lineRule="exact"/>
        <w:ind w:left="642" w:leftChars="0"/>
        <w:rPr>
          <w:rFonts w:ascii="楷体" w:hAnsi="楷体" w:eastAsia="楷体" w:cs="楷体_GB2312"/>
          <w:bCs/>
          <w:sz w:val="32"/>
          <w:szCs w:val="32"/>
        </w:rPr>
      </w:pPr>
    </w:p>
    <w:p w14:paraId="031BE99B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67D76839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09166478">
      <w:pPr>
        <w:spacing w:line="560" w:lineRule="exact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2025 年度，新华区科技局严格落实全面预算绩效管理要求，部门整体支出规范有序，财政资源配置科学高效，圆满完成年度既定全部部门履职目标与各项绩效任务。</w:t>
      </w:r>
    </w:p>
    <w:p w14:paraId="5AB2F1F8">
      <w:pPr>
        <w:spacing w:line="56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1、整体履职运行保障到位，单位日常管理、科技行政管理工作平稳高效开展；</w:t>
      </w:r>
      <w:bookmarkStart w:id="0" w:name="_GoBack"/>
      <w:bookmarkEnd w:id="0"/>
    </w:p>
    <w:p w14:paraId="358848D5">
      <w:pPr>
        <w:spacing w:line="56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2、各项科技创新重点工作、专项服务任务全部按期保质完成，超额完成部分预期指标；</w:t>
      </w:r>
    </w:p>
    <w:p w14:paraId="5D350C72">
      <w:pPr>
        <w:spacing w:line="56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3、预算执行进度合理，资金使用效益充分释放，全过程预算绩效管理落实到位；</w:t>
      </w:r>
    </w:p>
    <w:p w14:paraId="607C6D9E">
      <w:pPr>
        <w:spacing w:line="56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4、区域科技创新活力显著增强，创新主体培育成效明显，企业获得感强，综合满意度优良。</w:t>
      </w:r>
    </w:p>
    <w:p w14:paraId="1B1D1EEA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</w:p>
    <w:p w14:paraId="6B4C98D7"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分项绩效目标实现情况及指标分析</w:t>
      </w:r>
    </w:p>
    <w:p w14:paraId="502A3D6A">
      <w:pPr>
        <w:spacing w:line="56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 xml:space="preserve">·  </w:t>
      </w:r>
      <w:r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  <w:t>预算执行指标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：全年预算执行率良好，资金拨付、支出时序科学合理，厉行节约，严控一般性支出，预算管控能力持续提升。</w:t>
      </w:r>
    </w:p>
    <w:p w14:paraId="71B83A4E">
      <w:pPr>
        <w:spacing w:line="56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  <w:t>·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  <w:t xml:space="preserve"> 产出指标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：全年科技企业培育、政策精准推送、产学研对接、科技成果服务、科普推广等各项数量指标全部达标；工作办理规范精准，质量零差错；所有工作均按期完成，时效保障充足。</w:t>
      </w:r>
    </w:p>
    <w:p w14:paraId="498A4AD5">
      <w:pPr>
        <w:spacing w:line="56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  <w:t>·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 xml:space="preserve">  </w:t>
      </w:r>
      <w:r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  <w:t>效益指标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：区域科技创新体系持续完善，高新技术企业、科技型企业数量稳步增长，产业创新动能持续增强，科技对经济发展的支撑作用持续凸显，社会效益、长期可持续效益成效显著。</w:t>
      </w:r>
    </w:p>
    <w:p w14:paraId="753530CF">
      <w:pPr>
        <w:spacing w:line="56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  <w:t>·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 xml:space="preserve">  </w:t>
      </w:r>
      <w:r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  <w:t>满意度指标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：通过面向辖区科技企业、科研机构、基层单位开展满意度测评，综合反馈良好，整体服务认可度高，满意度达到优良水平。</w:t>
      </w:r>
    </w:p>
    <w:p w14:paraId="0D833647">
      <w:pPr>
        <w:numPr>
          <w:ilvl w:val="0"/>
          <w:numId w:val="0"/>
        </w:numPr>
        <w:spacing w:line="560" w:lineRule="exact"/>
        <w:ind w:leftChars="200"/>
        <w:rPr>
          <w:rFonts w:hint="eastAsia" w:ascii="楷体" w:hAnsi="楷体" w:eastAsia="楷体" w:cs="楷体_GB2312"/>
          <w:bCs/>
          <w:sz w:val="32"/>
          <w:szCs w:val="32"/>
        </w:rPr>
      </w:pPr>
    </w:p>
    <w:p w14:paraId="179C6653">
      <w:pPr>
        <w:numPr>
          <w:ilvl w:val="0"/>
          <w:numId w:val="4"/>
        </w:numPr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评价结论和评价等级</w:t>
      </w:r>
    </w:p>
    <w:p w14:paraId="205A70BE">
      <w:pPr>
        <w:spacing w:line="56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·  绩效目标精细化管理仍有提升空间，部分绩效指标可进一步细化量化，指标的前瞻性与精准度可继续优化；</w:t>
      </w:r>
    </w:p>
    <w:p w14:paraId="63AB6175">
      <w:pPr>
        <w:spacing w:line="56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  <w:t>·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 xml:space="preserve">  预算绩效全过程动态监管机制仍需健全，事前绩效评估、事中动态监控的深度与精细化程度有待加强；</w:t>
      </w:r>
    </w:p>
    <w:p w14:paraId="4CF23F7B">
      <w:pPr>
        <w:spacing w:line="56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黑体"/>
          <w:kern w:val="2"/>
          <w:sz w:val="32"/>
          <w:szCs w:val="32"/>
          <w:lang w:val="en-US" w:eastAsia="zh-CN" w:bidi="ar-SA"/>
        </w:rPr>
        <w:t>·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 xml:space="preserve">  科技创新精准化、差异化服务供给仍可加强，对不同类型、不同发展阶段创新主体的定制化服务能力仍有提升潜力。</w:t>
      </w:r>
    </w:p>
    <w:p w14:paraId="7DD16DC7">
      <w:pPr>
        <w:numPr>
          <w:ilvl w:val="0"/>
          <w:numId w:val="0"/>
        </w:numPr>
        <w:spacing w:line="560" w:lineRule="exact"/>
        <w:rPr>
          <w:rFonts w:hint="eastAsia" w:ascii="黑体" w:hAnsi="黑体" w:eastAsia="黑体"/>
          <w:sz w:val="32"/>
          <w:szCs w:val="32"/>
        </w:rPr>
      </w:pPr>
    </w:p>
    <w:p w14:paraId="55A41225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5972F63C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  <w:lang w:eastAsia="zh-CN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  <w:r>
        <w:rPr>
          <w:rFonts w:hint="eastAsia" w:ascii="楷体" w:hAnsi="楷体" w:eastAsia="楷体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>无</w:t>
      </w:r>
      <w:r>
        <w:rPr>
          <w:rFonts w:hint="eastAsia" w:ascii="楷体" w:hAnsi="楷体" w:eastAsia="楷体"/>
          <w:bCs/>
          <w:sz w:val="32"/>
          <w:szCs w:val="32"/>
          <w:lang w:eastAsia="zh-CN"/>
        </w:rPr>
        <w:t>）</w:t>
      </w:r>
    </w:p>
    <w:p w14:paraId="2E4FD2EB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  <w:lang w:eastAsia="zh-CN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  <w:r>
        <w:rPr>
          <w:rFonts w:hint="eastAsia" w:ascii="楷体" w:hAnsi="楷体" w:eastAsia="楷体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>无</w:t>
      </w:r>
      <w:r>
        <w:rPr>
          <w:rFonts w:hint="eastAsia" w:ascii="楷体" w:hAnsi="楷体" w:eastAsia="楷体"/>
          <w:bCs/>
          <w:sz w:val="32"/>
          <w:szCs w:val="32"/>
          <w:lang w:eastAsia="zh-CN"/>
        </w:rPr>
        <w:t>）</w:t>
      </w:r>
    </w:p>
    <w:p w14:paraId="57DAB05C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</w:p>
    <w:p w14:paraId="65862311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0D3E62">
    <w:pPr>
      <w:pStyle w:val="3"/>
    </w:pPr>
    <w:r>
      <w:pict>
        <v:shape id="Quad Arrow 3073" o:spid="_x0000_s3073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1CD7A130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0D4F164"/>
    <w:multiLevelType w:val="singleLevel"/>
    <w:tmpl w:val="D0D4F164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abstractNum w:abstractNumId="3">
    <w:nsid w:val="7173D145"/>
    <w:multiLevelType w:val="singleLevel"/>
    <w:tmpl w:val="7173D145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F187B"/>
    <w:rsid w:val="0053216A"/>
    <w:rsid w:val="006932BD"/>
    <w:rsid w:val="007416C6"/>
    <w:rsid w:val="007E6C1F"/>
    <w:rsid w:val="009000BE"/>
    <w:rsid w:val="00956A93"/>
    <w:rsid w:val="009E575C"/>
    <w:rsid w:val="00A024F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2CA0178"/>
    <w:rsid w:val="1AAF0063"/>
    <w:rsid w:val="1B740D26"/>
    <w:rsid w:val="1BE140DE"/>
    <w:rsid w:val="1E542E40"/>
    <w:rsid w:val="248C197D"/>
    <w:rsid w:val="252959AF"/>
    <w:rsid w:val="277A6671"/>
    <w:rsid w:val="292D35B7"/>
    <w:rsid w:val="33EB6CFF"/>
    <w:rsid w:val="35A12947"/>
    <w:rsid w:val="37387040"/>
    <w:rsid w:val="3B625C0A"/>
    <w:rsid w:val="3CEE1963"/>
    <w:rsid w:val="42DC7F61"/>
    <w:rsid w:val="436B78D3"/>
    <w:rsid w:val="4C910177"/>
    <w:rsid w:val="4C9C27FE"/>
    <w:rsid w:val="502A44B1"/>
    <w:rsid w:val="512260B4"/>
    <w:rsid w:val="52BD6ACB"/>
    <w:rsid w:val="55537534"/>
    <w:rsid w:val="561A74F1"/>
    <w:rsid w:val="58B17416"/>
    <w:rsid w:val="597244E8"/>
    <w:rsid w:val="5EB71C30"/>
    <w:rsid w:val="620F7367"/>
    <w:rsid w:val="66AF0CE5"/>
    <w:rsid w:val="6864725C"/>
    <w:rsid w:val="68AC2130"/>
    <w:rsid w:val="6AC537CF"/>
    <w:rsid w:val="6CB0496A"/>
    <w:rsid w:val="6E5B14A6"/>
    <w:rsid w:val="711B255E"/>
    <w:rsid w:val="72FE2DB9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微软雅黑" w:hAnsi="微软雅黑" w:eastAsia="微软雅黑" w:cs="微软雅黑"/>
      <w:sz w:val="28"/>
      <w:szCs w:val="28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5</Pages>
  <Words>2017</Words>
  <Characters>2085</Characters>
  <Lines>4</Lines>
  <Paragraphs>1</Paragraphs>
  <TotalTime>17</TotalTime>
  <ScaleCrop>false</ScaleCrop>
  <LinksUpToDate>false</LinksUpToDate>
  <CharactersWithSpaces>2143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今天下雨了</cp:lastModifiedBy>
  <cp:lastPrinted>2026-03-03T01:23:00Z</cp:lastPrinted>
  <dcterms:modified xsi:type="dcterms:W3CDTF">2026-05-21T08:07:12Z</dcterms:modified>
  <dc:title>附件3：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eyJoZGlkIjoiODRkNWZlZmUwYmJmYjBmODRiMGViZDE1ZjhiN2RiZjAiLCJ1c2VySWQiOiI5NzE5MzU3MjIifQ==</vt:lpwstr>
  </property>
</Properties>
</file>