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区委党校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/>
          <w:sz w:val="32"/>
          <w:szCs w:val="32"/>
        </w:rPr>
        <w:t>委</w:t>
      </w:r>
      <w:r>
        <w:rPr>
          <w:rFonts w:hint="eastAsia" w:ascii="仿宋" w:hAnsi="仿宋" w:eastAsia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/>
          <w:sz w:val="32"/>
          <w:szCs w:val="32"/>
        </w:rPr>
        <w:t>政府</w:t>
      </w:r>
      <w:r>
        <w:rPr>
          <w:rFonts w:hint="eastAsia" w:ascii="仿宋_GB2312" w:eastAsia="仿宋_GB2312"/>
          <w:sz w:val="32"/>
          <w:szCs w:val="32"/>
        </w:rPr>
        <w:t>《关于全面落实预算绩效管理的实施意见》（新华发〔2019〕9号）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党校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（一）部门概况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中共石家庄市</w:t>
      </w:r>
      <w:r>
        <w:rPr>
          <w:rFonts w:hint="eastAsia" w:ascii="仿宋" w:hAnsi="仿宋" w:eastAsia="仿宋"/>
          <w:sz w:val="32"/>
          <w:szCs w:val="32"/>
          <w:lang w:eastAsia="zh-CN"/>
        </w:rPr>
        <w:t>新华</w:t>
      </w:r>
      <w:r>
        <w:rPr>
          <w:rFonts w:hint="eastAsia" w:ascii="仿宋" w:hAnsi="仿宋" w:eastAsia="仿宋"/>
          <w:sz w:val="32"/>
          <w:szCs w:val="32"/>
        </w:rPr>
        <w:t>区委党校属于参照公务员管理的事业单位，财务工作隶属</w:t>
      </w:r>
      <w:r>
        <w:rPr>
          <w:rFonts w:hint="eastAsia" w:ascii="仿宋" w:hAnsi="仿宋" w:eastAsia="仿宋"/>
          <w:sz w:val="32"/>
          <w:szCs w:val="32"/>
          <w:lang w:eastAsia="zh-CN"/>
        </w:rPr>
        <w:t>新华</w:t>
      </w:r>
      <w:r>
        <w:rPr>
          <w:rFonts w:hint="eastAsia" w:ascii="仿宋" w:hAnsi="仿宋" w:eastAsia="仿宋"/>
          <w:sz w:val="32"/>
          <w:szCs w:val="32"/>
        </w:rPr>
        <w:t>区财政局统一管理，执行事业单位会计制度。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新华</w:t>
      </w:r>
      <w:r>
        <w:rPr>
          <w:rFonts w:hint="eastAsia" w:ascii="仿宋" w:hAnsi="仿宋" w:eastAsia="仿宋"/>
          <w:sz w:val="32"/>
          <w:szCs w:val="32"/>
        </w:rPr>
        <w:t>区委关于做好干部培训工作的有关要求，202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年区委党校在全区</w:t>
      </w:r>
      <w:r>
        <w:rPr>
          <w:rFonts w:hint="eastAsia" w:ascii="仿宋" w:hAnsi="仿宋" w:eastAsia="仿宋"/>
          <w:sz w:val="32"/>
          <w:szCs w:val="32"/>
          <w:lang w:eastAsia="zh-CN"/>
        </w:rPr>
        <w:t>开展了线上培训、线下培训</w:t>
      </w:r>
      <w:r>
        <w:rPr>
          <w:rFonts w:hint="eastAsia" w:ascii="仿宋" w:hAnsi="仿宋" w:eastAsia="仿宋"/>
          <w:sz w:val="32"/>
          <w:szCs w:val="32"/>
        </w:rPr>
        <w:t>工作。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bCs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部门收支预决算情况</w:t>
      </w:r>
    </w:p>
    <w:p>
      <w:pPr>
        <w:adjustRightInd w:val="0"/>
        <w:snapToGrid w:val="0"/>
        <w:spacing w:line="560" w:lineRule="exac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</w:t>
      </w:r>
      <w:r>
        <w:rPr>
          <w:rFonts w:hint="eastAsia" w:ascii="仿宋" w:hAnsi="仿宋" w:eastAsia="仿宋"/>
          <w:sz w:val="32"/>
          <w:szCs w:val="32"/>
        </w:rPr>
        <w:t>中共石家庄市</w:t>
      </w:r>
      <w:r>
        <w:rPr>
          <w:rFonts w:hint="eastAsia" w:ascii="仿宋" w:hAnsi="仿宋" w:eastAsia="仿宋"/>
          <w:sz w:val="32"/>
          <w:szCs w:val="32"/>
          <w:lang w:eastAsia="zh-CN"/>
        </w:rPr>
        <w:t>新华</w:t>
      </w:r>
      <w:r>
        <w:rPr>
          <w:rFonts w:hint="eastAsia" w:ascii="仿宋" w:hAnsi="仿宋" w:eastAsia="仿宋"/>
          <w:sz w:val="32"/>
          <w:szCs w:val="32"/>
        </w:rPr>
        <w:t>区委党校已完成了202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年度的预决算公开工作，202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年度干部培训项目</w:t>
      </w:r>
      <w:r>
        <w:rPr>
          <w:rFonts w:hint="eastAsia" w:ascii="仿宋" w:hAnsi="仿宋" w:eastAsia="仿宋"/>
          <w:sz w:val="32"/>
          <w:szCs w:val="32"/>
          <w:lang w:eastAsia="zh-CN"/>
        </w:rPr>
        <w:t>预算安排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4000</w:t>
      </w:r>
      <w:r>
        <w:rPr>
          <w:rFonts w:hint="eastAsia" w:ascii="仿宋" w:hAnsi="仿宋" w:eastAsia="仿宋"/>
          <w:sz w:val="32"/>
          <w:szCs w:val="32"/>
        </w:rPr>
        <w:t>元，支出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/>
          <w:sz w:val="32"/>
          <w:szCs w:val="32"/>
        </w:rPr>
        <w:t>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bCs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（三）部门整体支出绩效目标、指标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1、预期绩效总目标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党中央、省市和区委关于建设高素质干部队伍的要求，有计划地培训、轮训党员领导干部和宣传骨干；结合全区经济社会发展实际，以研讨中央重大理论和方针、政策问题为目的，举办各种专题研讨班；利用教学资源进行干部短期培训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2、主要绩效目标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干部培训、流动党校培训工作的主要绩效目标为通过外请专家学者授课，开拓学员思路；通过现场教学、情景教学、案例教学，有效提高培训质量，提高学员解决实际问题的能力。按照实事求是、与时俱进、艰苦奋斗、执政为民的要求，培养忠诚于中国特色社会主义事业、德才兼备的党员领导干部和理论干部，有效提高干部的政策理论水平、思想觉悟和执政能力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1.成立项目评价领导小组。</w:t>
      </w:r>
    </w:p>
    <w:p>
      <w:pPr>
        <w:ind w:firstLine="64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2.每次培训结束后，由委托单位对我单位进行的培训工作进行打分。</w:t>
      </w:r>
    </w:p>
    <w:p>
      <w:pPr>
        <w:ind w:firstLine="64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3.给参加培训班的学员发放培训情况满意度打分表。</w:t>
      </w:r>
    </w:p>
    <w:p>
      <w:pPr>
        <w:ind w:firstLine="64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4.由教研室统计年度内培训轮训工作的完成率以及特色教学的百分比。</w:t>
      </w: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ind w:firstLine="64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本次绩效评价采用以下方法：一是资料整理法。通过对相关记账凭证等财务资料查阅、核实、汇总分析，评价项目资金使用的规范性、支出范围的相关性和合理性等指标。二是访谈调查法。了解基层干部对组织培训班次、培训覆盖率、培训内容、专题设置的满意度。</w:t>
      </w:r>
    </w:p>
    <w:p>
      <w:pPr>
        <w:ind w:firstLine="640"/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通过以上方法收集有关资料，进行研究分析，确定各项指标完成程度及得分，找出项目实施中存在的问题，分析原因，提出建议，形成绩效评价报告。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ind w:firstLine="64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根据绩效评价内容，经确定指标体系有4项一级指标、7项二级指标、下设8项三级指标。</w:t>
      </w:r>
    </w:p>
    <w:p>
      <w:pPr>
        <w:ind w:firstLine="64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干部培训工作的专项资金绩效评价总得分90分，绩效评价等级为优秀。具体如下表：</w:t>
      </w:r>
    </w:p>
    <w:p>
      <w:pPr>
        <w:spacing w:line="600" w:lineRule="exact"/>
        <w:ind w:firstLine="2240" w:firstLineChars="800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表一     指标体系及得分情况</w:t>
      </w:r>
    </w:p>
    <w:tbl>
      <w:tblPr>
        <w:tblStyle w:val="6"/>
        <w:tblW w:w="10241" w:type="dxa"/>
        <w:jc w:val="center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159"/>
        <w:gridCol w:w="1249"/>
        <w:gridCol w:w="1274"/>
        <w:gridCol w:w="607"/>
        <w:gridCol w:w="2796"/>
        <w:gridCol w:w="2502"/>
        <w:gridCol w:w="65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115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</w:rPr>
              <w:t>一级指标</w:t>
            </w:r>
          </w:p>
        </w:tc>
        <w:tc>
          <w:tcPr>
            <w:tcW w:w="124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</w:rPr>
              <w:t>二级指标</w:t>
            </w:r>
          </w:p>
        </w:tc>
        <w:tc>
          <w:tcPr>
            <w:tcW w:w="12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</w:rPr>
              <w:t>三级指标</w:t>
            </w:r>
          </w:p>
        </w:tc>
        <w:tc>
          <w:tcPr>
            <w:tcW w:w="60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</w:rPr>
              <w:t>权重</w:t>
            </w:r>
          </w:p>
        </w:tc>
        <w:tc>
          <w:tcPr>
            <w:tcW w:w="279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</w:rPr>
              <w:t>指标说明</w:t>
            </w:r>
          </w:p>
        </w:tc>
        <w:tc>
          <w:tcPr>
            <w:tcW w:w="250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</w:rPr>
              <w:t>评分标准</w:t>
            </w:r>
          </w:p>
        </w:tc>
        <w:tc>
          <w:tcPr>
            <w:tcW w:w="65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</w:rPr>
              <w:t>得分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159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产出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指标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（40）分</w:t>
            </w:r>
          </w:p>
        </w:tc>
        <w:tc>
          <w:tcPr>
            <w:tcW w:w="124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数量指标（10）分</w:t>
            </w:r>
          </w:p>
        </w:tc>
        <w:tc>
          <w:tcPr>
            <w:tcW w:w="12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培训人员人次</w:t>
            </w:r>
          </w:p>
        </w:tc>
        <w:tc>
          <w:tcPr>
            <w:tcW w:w="60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10</w:t>
            </w:r>
          </w:p>
        </w:tc>
        <w:tc>
          <w:tcPr>
            <w:tcW w:w="279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年度内举办培训班不少于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1次</w:t>
            </w:r>
          </w:p>
        </w:tc>
        <w:tc>
          <w:tcPr>
            <w:tcW w:w="2502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达到得10分，未达到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酌情减分</w:t>
            </w:r>
          </w:p>
        </w:tc>
        <w:tc>
          <w:tcPr>
            <w:tcW w:w="65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10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159" w:type="dxa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</w:p>
        </w:tc>
        <w:tc>
          <w:tcPr>
            <w:tcW w:w="124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质量指标（10）分</w:t>
            </w:r>
          </w:p>
        </w:tc>
        <w:tc>
          <w:tcPr>
            <w:tcW w:w="12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培训合格率</w:t>
            </w:r>
          </w:p>
        </w:tc>
        <w:tc>
          <w:tcPr>
            <w:tcW w:w="60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</w:t>
            </w:r>
          </w:p>
        </w:tc>
        <w:tc>
          <w:tcPr>
            <w:tcW w:w="279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参加培训人员的合格率</w:t>
            </w:r>
          </w:p>
        </w:tc>
        <w:tc>
          <w:tcPr>
            <w:tcW w:w="2502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达到90%得10分，未达到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酌情减分</w:t>
            </w:r>
          </w:p>
        </w:tc>
        <w:tc>
          <w:tcPr>
            <w:tcW w:w="65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159" w:type="dxa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</w:p>
        </w:tc>
        <w:tc>
          <w:tcPr>
            <w:tcW w:w="124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时效指标（10）分</w:t>
            </w:r>
          </w:p>
        </w:tc>
        <w:tc>
          <w:tcPr>
            <w:tcW w:w="12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培训工作完成率</w:t>
            </w:r>
          </w:p>
        </w:tc>
        <w:tc>
          <w:tcPr>
            <w:tcW w:w="60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</w:t>
            </w:r>
          </w:p>
        </w:tc>
        <w:tc>
          <w:tcPr>
            <w:tcW w:w="2796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年度内已完成的培训、轮训工作量占计划量的比例</w:t>
            </w:r>
          </w:p>
        </w:tc>
        <w:tc>
          <w:tcPr>
            <w:tcW w:w="2502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达到90%得10分，未达到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酌情减分</w:t>
            </w:r>
          </w:p>
        </w:tc>
        <w:tc>
          <w:tcPr>
            <w:tcW w:w="65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159" w:type="dxa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</w:p>
        </w:tc>
        <w:tc>
          <w:tcPr>
            <w:tcW w:w="124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成本指标（10）分</w:t>
            </w:r>
          </w:p>
        </w:tc>
        <w:tc>
          <w:tcPr>
            <w:tcW w:w="12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人均财政投入水平</w:t>
            </w:r>
          </w:p>
        </w:tc>
        <w:tc>
          <w:tcPr>
            <w:tcW w:w="60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10</w:t>
            </w:r>
          </w:p>
        </w:tc>
        <w:tc>
          <w:tcPr>
            <w:tcW w:w="279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与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到财政拨款金额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持平</w:t>
            </w:r>
          </w:p>
        </w:tc>
        <w:tc>
          <w:tcPr>
            <w:tcW w:w="2502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与财政拨款一致得10分，与财政拨款不相符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酌情减分</w:t>
            </w:r>
          </w:p>
        </w:tc>
        <w:tc>
          <w:tcPr>
            <w:tcW w:w="65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159" w:type="dxa"/>
            <w:vAlign w:val="top"/>
          </w:tcPr>
          <w:p>
            <w:pPr>
              <w:widowControl/>
              <w:jc w:val="both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预算执行率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指标</w:t>
            </w:r>
          </w:p>
          <w:p>
            <w:pPr>
              <w:jc w:val="both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（10）分</w:t>
            </w:r>
          </w:p>
        </w:tc>
        <w:tc>
          <w:tcPr>
            <w:tcW w:w="1249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预算执行率</w:t>
            </w:r>
          </w:p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</w:p>
        </w:tc>
        <w:tc>
          <w:tcPr>
            <w:tcW w:w="12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实际完成情况</w:t>
            </w:r>
          </w:p>
        </w:tc>
        <w:tc>
          <w:tcPr>
            <w:tcW w:w="60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10</w:t>
            </w:r>
          </w:p>
        </w:tc>
        <w:tc>
          <w:tcPr>
            <w:tcW w:w="2796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组织干部参加培训</w:t>
            </w:r>
          </w:p>
        </w:tc>
        <w:tc>
          <w:tcPr>
            <w:tcW w:w="2502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组织得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分，未组织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酌情减分</w:t>
            </w:r>
          </w:p>
        </w:tc>
        <w:tc>
          <w:tcPr>
            <w:tcW w:w="65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31" w:hRule="atLeast"/>
          <w:jc w:val="center"/>
        </w:trPr>
        <w:tc>
          <w:tcPr>
            <w:tcW w:w="1159" w:type="dxa"/>
            <w:vMerge w:val="restart"/>
            <w:tcBorders>
              <w:top w:val="single" w:color="000000" w:sz="4" w:space="0"/>
              <w:lef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效益指标（</w:t>
            </w:r>
            <w:r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  <w:t>40分</w:t>
            </w: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）</w:t>
            </w:r>
          </w:p>
        </w:tc>
        <w:tc>
          <w:tcPr>
            <w:tcW w:w="1249" w:type="dxa"/>
            <w:vMerge w:val="restart"/>
            <w:tcBorders>
              <w:top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社会效益</w:t>
            </w:r>
          </w:p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274" w:type="dxa"/>
            <w:tcBorders>
              <w:top w:val="single" w:color="000000" w:sz="4" w:space="0"/>
              <w:bottom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提升理论水平</w:t>
            </w:r>
          </w:p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</w:p>
        </w:tc>
        <w:tc>
          <w:tcPr>
            <w:tcW w:w="607" w:type="dxa"/>
            <w:tcBorders>
              <w:top w:val="single" w:color="000000" w:sz="4" w:space="0"/>
              <w:bottom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  <w:t>20</w:t>
            </w:r>
          </w:p>
        </w:tc>
        <w:tc>
          <w:tcPr>
            <w:tcW w:w="2796" w:type="dxa"/>
            <w:tcBorders>
              <w:top w:val="single" w:color="000000" w:sz="4" w:space="0"/>
              <w:bottom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提升全区党员干部的政治修养和理论水平</w:t>
            </w:r>
          </w:p>
        </w:tc>
        <w:tc>
          <w:tcPr>
            <w:tcW w:w="2502" w:type="dxa"/>
            <w:tcBorders>
              <w:top w:val="single" w:color="000000" w:sz="4" w:space="0"/>
              <w:bottom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能体现得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20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分，不能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酌情减分</w:t>
            </w:r>
          </w:p>
        </w:tc>
        <w:tc>
          <w:tcPr>
            <w:tcW w:w="654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34" w:hRule="atLeast"/>
          <w:jc w:val="center"/>
        </w:trPr>
        <w:tc>
          <w:tcPr>
            <w:tcW w:w="1159" w:type="dxa"/>
            <w:vMerge w:val="continue"/>
            <w:tcBorders>
              <w:left w:val="single" w:color="000000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249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274" w:type="dxa"/>
            <w:tcBorders>
              <w:top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提高工作能力</w:t>
            </w:r>
          </w:p>
        </w:tc>
        <w:tc>
          <w:tcPr>
            <w:tcW w:w="607" w:type="dxa"/>
            <w:tcBorders>
              <w:top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  <w:t>20</w:t>
            </w:r>
          </w:p>
        </w:tc>
        <w:tc>
          <w:tcPr>
            <w:tcW w:w="2796" w:type="dxa"/>
            <w:tcBorders>
              <w:top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提高参训学员解决实际问题的能力</w:t>
            </w:r>
          </w:p>
        </w:tc>
        <w:tc>
          <w:tcPr>
            <w:tcW w:w="2502" w:type="dxa"/>
            <w:tcBorders>
              <w:top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是得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20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分，否根据情况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酌情减分</w:t>
            </w:r>
          </w:p>
        </w:tc>
        <w:tc>
          <w:tcPr>
            <w:tcW w:w="654" w:type="dxa"/>
            <w:tcBorders>
              <w:top w:val="single" w:color="000000" w:sz="4" w:space="0"/>
              <w:right w:val="single" w:color="000000" w:sz="4" w:space="0"/>
            </w:tcBorders>
            <w:vAlign w:val="center"/>
          </w:tcPr>
          <w:tbl>
            <w:tblPr>
              <w:tblStyle w:val="6"/>
              <w:tblW w:w="654" w:type="dxa"/>
              <w:jc w:val="center"/>
              <w:tblInd w:w="0" w:type="dxa"/>
              <w:tblBorders>
                <w:top w:val="single" w:color="000000" w:sz="4" w:space="0"/>
                <w:left w:val="single" w:color="000000" w:sz="4" w:space="0"/>
                <w:bottom w:val="single" w:color="000000" w:sz="4" w:space="0"/>
                <w:right w:val="single" w:color="000000" w:sz="4" w:space="0"/>
                <w:insideH w:val="single" w:color="000000" w:sz="4" w:space="0"/>
                <w:insideV w:val="single" w:color="000000" w:sz="4" w:space="0"/>
              </w:tblBorders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654"/>
            </w:tblGrid>
            <w:tr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Layout w:type="fixed"/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rHeight w:val="734" w:hRule="atLeast"/>
                <w:jc w:val="center"/>
              </w:trPr>
              <w:tc>
                <w:tcPr>
                  <w:tcW w:w="654" w:type="dxa"/>
                  <w:vAlign w:val="center"/>
                </w:tcPr>
                <w:p>
                  <w:pPr>
                    <w:widowControl/>
                    <w:jc w:val="center"/>
                    <w:textAlignment w:val="center"/>
                    <w:rPr>
                      <w:rFonts w:hint="eastAsia" w:ascii="仿宋" w:hAnsi="仿宋" w:eastAsia="仿宋" w:cs="仿宋"/>
                      <w:color w:val="000000"/>
                      <w:sz w:val="24"/>
                      <w:lang w:eastAsia="zh-CN"/>
                    </w:rPr>
                  </w:pPr>
                  <w:r>
                    <w:rPr>
                      <w:rFonts w:hint="eastAsia" w:ascii="仿宋" w:hAnsi="仿宋" w:eastAsia="仿宋" w:cs="仿宋"/>
                      <w:color w:val="000000"/>
                      <w:sz w:val="24"/>
                      <w:lang w:val="en-US" w:eastAsia="zh-CN"/>
                    </w:rPr>
                    <w:t>20</w:t>
                  </w:r>
                </w:p>
              </w:tc>
            </w:tr>
          </w:tbl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  <w:jc w:val="center"/>
        </w:trPr>
        <w:tc>
          <w:tcPr>
            <w:tcW w:w="1159" w:type="dxa"/>
            <w:tcBorders>
              <w:lef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满意度指标（</w:t>
            </w:r>
            <w:r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  <w:t>10分</w:t>
            </w: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）</w:t>
            </w:r>
          </w:p>
        </w:tc>
        <w:tc>
          <w:tcPr>
            <w:tcW w:w="1249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服务对象满意度</w:t>
            </w:r>
          </w:p>
        </w:tc>
        <w:tc>
          <w:tcPr>
            <w:tcW w:w="127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服务对象满意度</w:t>
            </w:r>
          </w:p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</w:p>
        </w:tc>
        <w:tc>
          <w:tcPr>
            <w:tcW w:w="60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  <w:t>10</w:t>
            </w:r>
          </w:p>
        </w:tc>
        <w:tc>
          <w:tcPr>
            <w:tcW w:w="279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eastAsia="zh-CN"/>
              </w:rPr>
              <w:t>参训人员满意度</w:t>
            </w:r>
          </w:p>
        </w:tc>
        <w:tc>
          <w:tcPr>
            <w:tcW w:w="2502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满意程度9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0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%以上得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分，满意程度80%-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89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%得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val="en-US" w:eastAsia="zh-CN"/>
              </w:rPr>
              <w:t>8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分，满意程度80%以下不得分</w:t>
            </w:r>
          </w:p>
        </w:tc>
        <w:tc>
          <w:tcPr>
            <w:tcW w:w="65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1159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合计</w:t>
            </w:r>
          </w:p>
        </w:tc>
        <w:tc>
          <w:tcPr>
            <w:tcW w:w="1249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274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607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  <w:t>100</w:t>
            </w:r>
          </w:p>
        </w:tc>
        <w:tc>
          <w:tcPr>
            <w:tcW w:w="2796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</w:p>
        </w:tc>
        <w:tc>
          <w:tcPr>
            <w:tcW w:w="2502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</w:p>
        </w:tc>
        <w:tc>
          <w:tcPr>
            <w:tcW w:w="654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9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</w:tr>
    </w:tbl>
    <w:p>
      <w:pPr>
        <w:spacing w:line="560" w:lineRule="exact"/>
        <w:ind w:firstLine="640" w:firstLineChars="200"/>
        <w:rPr>
          <w:rFonts w:hint="eastAsia" w:ascii="仿宋" w:hAnsi="仿宋" w:eastAsia="仿宋" w:cs="仿宋"/>
          <w:bCs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（二）分项绩效目标实现情况及指标分析</w:t>
      </w:r>
    </w:p>
    <w:p>
      <w:pPr>
        <w:spacing w:line="560" w:lineRule="exact"/>
        <w:ind w:firstLine="800" w:firstLineChars="25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根据该项目绩效评价情况，围绕绩效评价指标体系，对投入、过程、产出、效果指标进行分析，指标得分100分，失分0分，分解如下：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b w:val="0"/>
          <w:bCs/>
          <w:sz w:val="32"/>
          <w:szCs w:val="32"/>
        </w:rPr>
        <w:t>预算执行情况（满分10分，得分10分）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完成</w:t>
      </w:r>
      <w:r>
        <w:rPr>
          <w:rFonts w:hint="eastAsia" w:ascii="仿宋" w:hAnsi="仿宋" w:eastAsia="仿宋" w:cs="仿宋"/>
          <w:sz w:val="32"/>
          <w:szCs w:val="32"/>
        </w:rPr>
        <w:t>年初预算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培训计划</w:t>
      </w:r>
      <w:r>
        <w:rPr>
          <w:rFonts w:hint="eastAsia" w:ascii="仿宋" w:hAnsi="仿宋" w:eastAsia="仿宋" w:cs="仿宋"/>
          <w:sz w:val="32"/>
          <w:szCs w:val="32"/>
        </w:rPr>
        <w:t>，根据指标体系评分标准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自评得</w:t>
      </w:r>
      <w:r>
        <w:rPr>
          <w:rFonts w:hint="eastAsia" w:ascii="仿宋" w:hAnsi="仿宋" w:eastAsia="仿宋" w:cs="仿宋"/>
          <w:sz w:val="32"/>
          <w:szCs w:val="32"/>
        </w:rPr>
        <w:t>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10分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spacing w:line="560" w:lineRule="exact"/>
        <w:rPr>
          <w:rFonts w:hint="eastAsia" w:ascii="仿宋" w:hAnsi="仿宋" w:eastAsia="仿宋" w:cs="仿宋"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2"/>
          <w:szCs w:val="32"/>
        </w:rPr>
        <w:t>项目产出</w:t>
      </w:r>
      <w:r>
        <w:rPr>
          <w:rFonts w:hint="eastAsia" w:ascii="仿宋" w:hAnsi="仿宋" w:eastAsia="仿宋" w:cs="仿宋"/>
          <w:b w:val="0"/>
          <w:bCs/>
          <w:sz w:val="32"/>
          <w:szCs w:val="32"/>
        </w:rPr>
        <w:t>（满分40分，得分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30</w:t>
      </w:r>
      <w:r>
        <w:rPr>
          <w:rFonts w:hint="eastAsia" w:ascii="仿宋" w:hAnsi="仿宋" w:eastAsia="仿宋" w:cs="仿宋"/>
          <w:b w:val="0"/>
          <w:bCs/>
          <w:sz w:val="32"/>
          <w:szCs w:val="32"/>
        </w:rPr>
        <w:t>分）</w:t>
      </w:r>
    </w:p>
    <w:p>
      <w:pPr>
        <w:numPr>
          <w:ilvl w:val="0"/>
          <w:numId w:val="0"/>
        </w:numPr>
        <w:spacing w:line="560" w:lineRule="exact"/>
        <w:ind w:firstLine="640" w:firstLineChars="200"/>
        <w:rPr>
          <w:rFonts w:hint="eastAsia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(1)数量指标：年初工作计划举办1次或1次以上培训，本年内完成年初培训计划，</w:t>
      </w:r>
      <w:r>
        <w:rPr>
          <w:rFonts w:hint="eastAsia" w:ascii="仿宋" w:hAnsi="仿宋" w:eastAsia="仿宋"/>
          <w:sz w:val="32"/>
          <w:szCs w:val="32"/>
        </w:rPr>
        <w:t>根据指标体系评分标准</w:t>
      </w:r>
      <w:r>
        <w:rPr>
          <w:rFonts w:hint="eastAsia" w:ascii="仿宋" w:hAnsi="仿宋" w:eastAsia="仿宋"/>
          <w:sz w:val="32"/>
          <w:szCs w:val="32"/>
          <w:lang w:eastAsia="zh-CN"/>
        </w:rPr>
        <w:t>自评得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10分。</w:t>
      </w:r>
    </w:p>
    <w:p>
      <w:pPr>
        <w:numPr>
          <w:ilvl w:val="0"/>
          <w:numId w:val="0"/>
        </w:num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(2)</w:t>
      </w:r>
      <w:r>
        <w:rPr>
          <w:rFonts w:hint="eastAsia" w:ascii="仿宋" w:hAnsi="仿宋" w:eastAsia="仿宋"/>
          <w:sz w:val="32"/>
          <w:szCs w:val="32"/>
          <w:lang w:eastAsia="zh-CN"/>
        </w:rPr>
        <w:t>质量指标：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参加培训人员的合格率达90%以上，百分百完成年初计划，</w:t>
      </w:r>
      <w:r>
        <w:rPr>
          <w:rFonts w:hint="eastAsia" w:ascii="仿宋" w:hAnsi="仿宋" w:eastAsia="仿宋"/>
          <w:sz w:val="32"/>
          <w:szCs w:val="32"/>
        </w:rPr>
        <w:t>根据指标体系评分标准</w:t>
      </w:r>
      <w:r>
        <w:rPr>
          <w:rFonts w:hint="eastAsia" w:ascii="仿宋" w:hAnsi="仿宋" w:eastAsia="仿宋"/>
          <w:sz w:val="32"/>
          <w:szCs w:val="32"/>
          <w:lang w:eastAsia="zh-CN"/>
        </w:rPr>
        <w:t>自评得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10分。</w:t>
      </w:r>
    </w:p>
    <w:p>
      <w:pPr>
        <w:pStyle w:val="2"/>
        <w:ind w:firstLine="64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(3)时效指标：指工作完成及时率。</w:t>
      </w:r>
      <w:r>
        <w:rPr>
          <w:rFonts w:hint="eastAsia" w:ascii="仿宋" w:hAnsi="仿宋" w:eastAsia="仿宋"/>
          <w:sz w:val="32"/>
          <w:szCs w:val="32"/>
        </w:rPr>
        <w:t>根据指标体系评分标准</w:t>
      </w:r>
      <w:r>
        <w:rPr>
          <w:rFonts w:hint="eastAsia" w:ascii="仿宋" w:hAnsi="仿宋" w:eastAsia="仿宋"/>
          <w:sz w:val="32"/>
          <w:szCs w:val="32"/>
          <w:lang w:eastAsia="zh-CN"/>
        </w:rPr>
        <w:t>自评得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10分。</w:t>
      </w:r>
    </w:p>
    <w:p>
      <w:pPr>
        <w:ind w:firstLine="64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(4)成本指标：2025年度区委党校与区委组织部共同举办5期培训班，所有费用均由区委组织部列支，党校未支出项目费用，因此项目经费的预算执行率较低，</w:t>
      </w:r>
      <w:r>
        <w:rPr>
          <w:rFonts w:hint="eastAsia" w:ascii="仿宋" w:hAnsi="仿宋" w:eastAsia="仿宋"/>
          <w:sz w:val="32"/>
          <w:szCs w:val="32"/>
        </w:rPr>
        <w:t>根据指标体系评分标准</w:t>
      </w:r>
      <w:r>
        <w:rPr>
          <w:rFonts w:hint="eastAsia" w:ascii="仿宋" w:hAnsi="仿宋" w:eastAsia="仿宋"/>
          <w:sz w:val="32"/>
          <w:szCs w:val="32"/>
          <w:lang w:eastAsia="zh-CN"/>
        </w:rPr>
        <w:t>自评得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0分。</w:t>
      </w:r>
    </w:p>
    <w:p>
      <w:pPr>
        <w:spacing w:line="560" w:lineRule="exact"/>
        <w:ind w:firstLine="640" w:firstLineChars="200"/>
        <w:rPr>
          <w:rFonts w:ascii="楷体" w:hAnsi="楷体" w:eastAsia="楷体" w:cs="楷体_GB2312"/>
          <w:b w:val="0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3.</w:t>
      </w:r>
      <w:r>
        <w:rPr>
          <w:rFonts w:hint="eastAsia" w:ascii="楷体" w:hAnsi="楷体" w:eastAsia="楷体" w:cs="楷体_GB2312"/>
          <w:bCs/>
          <w:sz w:val="32"/>
          <w:szCs w:val="32"/>
        </w:rPr>
        <w:t>项目效益</w:t>
      </w:r>
      <w:r>
        <w:rPr>
          <w:rFonts w:hint="eastAsia" w:ascii="仿宋" w:hAnsi="仿宋" w:eastAsia="仿宋" w:cs="仿宋"/>
          <w:b w:val="0"/>
          <w:bCs/>
          <w:sz w:val="28"/>
          <w:szCs w:val="28"/>
        </w:rPr>
        <w:t>（满分40分，得分</w:t>
      </w:r>
      <w:r>
        <w:rPr>
          <w:rFonts w:hint="eastAsia" w:ascii="仿宋" w:hAnsi="仿宋" w:eastAsia="仿宋" w:cs="仿宋"/>
          <w:b w:val="0"/>
          <w:bCs/>
          <w:sz w:val="28"/>
          <w:szCs w:val="28"/>
          <w:lang w:val="en-US" w:eastAsia="zh-CN"/>
        </w:rPr>
        <w:t>40</w:t>
      </w:r>
      <w:r>
        <w:rPr>
          <w:rFonts w:hint="eastAsia" w:ascii="仿宋" w:hAnsi="仿宋" w:eastAsia="仿宋" w:cs="仿宋"/>
          <w:b w:val="0"/>
          <w:bCs/>
          <w:sz w:val="28"/>
          <w:szCs w:val="28"/>
        </w:rPr>
        <w:t>分）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鉴于我单位工作实际，</w:t>
      </w: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效益指标只从</w:t>
      </w:r>
      <w:r>
        <w:rPr>
          <w:rFonts w:hint="eastAsia" w:ascii="仿宋" w:hAnsi="仿宋" w:eastAsia="仿宋"/>
          <w:sz w:val="32"/>
          <w:szCs w:val="32"/>
        </w:rPr>
        <w:t>社会效益</w:t>
      </w:r>
      <w:r>
        <w:rPr>
          <w:rFonts w:hint="eastAsia" w:ascii="仿宋" w:hAnsi="仿宋" w:eastAsia="仿宋"/>
          <w:sz w:val="32"/>
          <w:szCs w:val="32"/>
          <w:lang w:eastAsia="zh-CN"/>
        </w:rPr>
        <w:t>方面进行评价</w:t>
      </w:r>
      <w:r>
        <w:rPr>
          <w:rFonts w:hint="eastAsia" w:ascii="仿宋" w:hAnsi="仿宋" w:eastAsia="仿宋"/>
          <w:sz w:val="32"/>
          <w:szCs w:val="32"/>
        </w:rPr>
        <w:t>，根据指标体系评分标准</w:t>
      </w:r>
      <w:r>
        <w:rPr>
          <w:rFonts w:hint="eastAsia" w:ascii="仿宋" w:hAnsi="仿宋" w:eastAsia="仿宋"/>
          <w:sz w:val="32"/>
          <w:szCs w:val="32"/>
          <w:lang w:eastAsia="zh-CN"/>
        </w:rPr>
        <w:t>自评得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600" w:lineRule="exact"/>
        <w:ind w:firstLine="640" w:firstLineChars="200"/>
        <w:rPr>
          <w:rFonts w:ascii="仿宋" w:hAnsi="仿宋" w:eastAsia="仿宋" w:cs="仿宋"/>
          <w:b w:val="0"/>
          <w:bCs/>
          <w:sz w:val="28"/>
          <w:szCs w:val="28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/>
          <w:sz w:val="32"/>
          <w:szCs w:val="32"/>
          <w:lang w:eastAsia="zh-CN"/>
        </w:rPr>
        <w:t>服务对象满意度（满分10分，得分10分</w:t>
      </w:r>
      <w:r>
        <w:rPr>
          <w:rFonts w:hint="eastAsia" w:ascii="仿宋" w:hAnsi="仿宋" w:eastAsia="仿宋" w:cs="仿宋"/>
          <w:b w:val="0"/>
          <w:bCs/>
          <w:sz w:val="28"/>
          <w:szCs w:val="28"/>
        </w:rPr>
        <w:t>）</w:t>
      </w:r>
    </w:p>
    <w:p>
      <w:pPr>
        <w:spacing w:line="560" w:lineRule="exact"/>
        <w:ind w:firstLine="640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通过调查问卷及座谈了解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eastAsia="zh-CN"/>
        </w:rPr>
        <w:t>参训学员对培训学习的满意度达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90%以上，完成年初预算安排，</w:t>
      </w:r>
      <w:r>
        <w:rPr>
          <w:rFonts w:hint="eastAsia" w:ascii="仿宋" w:hAnsi="仿宋" w:eastAsia="仿宋"/>
          <w:sz w:val="32"/>
          <w:szCs w:val="32"/>
        </w:rPr>
        <w:t>根据指标体系评分标准</w:t>
      </w:r>
      <w:r>
        <w:rPr>
          <w:rFonts w:hint="eastAsia" w:ascii="仿宋" w:hAnsi="仿宋" w:eastAsia="仿宋"/>
          <w:sz w:val="32"/>
          <w:szCs w:val="32"/>
          <w:lang w:eastAsia="zh-CN"/>
        </w:rPr>
        <w:t>自评得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60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根据项目执行情况和项目绩效情况，给出总得分，指标体系设定满分100分，得出综合评价结论和项目综合绩效评价等级。项目综合评价分为4个等级：得分≥85分为优秀；75≤得分&lt;85分为良好；60≤得分&lt;75分为一般；得分&lt;60分为较差。</w:t>
      </w:r>
    </w:p>
    <w:p>
      <w:pPr>
        <w:spacing w:line="600" w:lineRule="exact"/>
        <w:ind w:firstLine="48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通过业务数据统计、访谈、调查等方式取得的信息，根据编制的干部培训工作专项资金绩效评价指标和评分标准，本项目绩效评价得分为9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/>
          <w:sz w:val="32"/>
          <w:szCs w:val="32"/>
          <w:lang w:eastAsia="zh-CN"/>
        </w:rPr>
        <w:t>分，绩效评价等级为优秀。</w:t>
      </w:r>
    </w:p>
    <w:p>
      <w:pPr>
        <w:spacing w:line="600" w:lineRule="exact"/>
        <w:ind w:firstLine="48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              </w:t>
      </w:r>
      <w:r>
        <w:rPr>
          <w:rFonts w:hint="eastAsia" w:ascii="仿宋" w:hAnsi="仿宋" w:eastAsia="仿宋"/>
          <w:sz w:val="32"/>
          <w:szCs w:val="32"/>
          <w:lang w:eastAsia="zh-CN"/>
        </w:rPr>
        <w:t xml:space="preserve">     表二：综合评分表</w:t>
      </w:r>
    </w:p>
    <w:tbl>
      <w:tblPr>
        <w:tblStyle w:val="6"/>
        <w:tblW w:w="900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0"/>
        <w:gridCol w:w="1500"/>
        <w:gridCol w:w="1501"/>
        <w:gridCol w:w="1501"/>
        <w:gridCol w:w="1501"/>
        <w:gridCol w:w="15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jc w:val="center"/>
        </w:trPr>
        <w:tc>
          <w:tcPr>
            <w:tcW w:w="1500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指标</w:t>
            </w:r>
          </w:p>
        </w:tc>
        <w:tc>
          <w:tcPr>
            <w:tcW w:w="1500" w:type="dxa"/>
            <w:vAlign w:val="top"/>
          </w:tcPr>
          <w:p>
            <w:pPr>
              <w:spacing w:line="600" w:lineRule="exact"/>
              <w:jc w:val="center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预算执行情况</w:t>
            </w:r>
          </w:p>
        </w:tc>
        <w:tc>
          <w:tcPr>
            <w:tcW w:w="1501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项目产出</w:t>
            </w:r>
          </w:p>
        </w:tc>
        <w:tc>
          <w:tcPr>
            <w:tcW w:w="1501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项目效益</w:t>
            </w:r>
          </w:p>
        </w:tc>
        <w:tc>
          <w:tcPr>
            <w:tcW w:w="1501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满意度</w:t>
            </w:r>
          </w:p>
        </w:tc>
        <w:tc>
          <w:tcPr>
            <w:tcW w:w="1501" w:type="dxa"/>
            <w:vAlign w:val="center"/>
          </w:tcPr>
          <w:p>
            <w:pPr>
              <w:spacing w:line="600" w:lineRule="exact"/>
              <w:ind w:firstLine="320" w:firstLineChars="100"/>
              <w:jc w:val="both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合计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00" w:type="dxa"/>
            <w:vAlign w:val="center"/>
          </w:tcPr>
          <w:p>
            <w:pPr>
              <w:spacing w:line="600" w:lineRule="exact"/>
              <w:ind w:firstLine="480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权重</w:t>
            </w:r>
          </w:p>
        </w:tc>
        <w:tc>
          <w:tcPr>
            <w:tcW w:w="1500" w:type="dxa"/>
            <w:vAlign w:val="center"/>
          </w:tcPr>
          <w:p>
            <w:pPr>
              <w:spacing w:line="600" w:lineRule="exact"/>
              <w:ind w:firstLine="480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10%</w:t>
            </w:r>
          </w:p>
        </w:tc>
        <w:tc>
          <w:tcPr>
            <w:tcW w:w="1501" w:type="dxa"/>
            <w:vAlign w:val="center"/>
          </w:tcPr>
          <w:p>
            <w:pPr>
              <w:spacing w:line="600" w:lineRule="exact"/>
              <w:ind w:firstLine="480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40%</w:t>
            </w:r>
          </w:p>
        </w:tc>
        <w:tc>
          <w:tcPr>
            <w:tcW w:w="1501" w:type="dxa"/>
            <w:vAlign w:val="center"/>
          </w:tcPr>
          <w:p>
            <w:pPr>
              <w:spacing w:line="600" w:lineRule="exact"/>
              <w:ind w:firstLine="480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40%</w:t>
            </w:r>
          </w:p>
        </w:tc>
        <w:tc>
          <w:tcPr>
            <w:tcW w:w="1501" w:type="dxa"/>
            <w:vAlign w:val="center"/>
          </w:tcPr>
          <w:p>
            <w:pPr>
              <w:spacing w:line="600" w:lineRule="exact"/>
              <w:ind w:firstLine="480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10%</w:t>
            </w:r>
          </w:p>
        </w:tc>
        <w:tc>
          <w:tcPr>
            <w:tcW w:w="1501" w:type="dxa"/>
            <w:vAlign w:val="center"/>
          </w:tcPr>
          <w:p>
            <w:pPr>
              <w:spacing w:line="600" w:lineRule="exact"/>
              <w:ind w:firstLine="480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00" w:type="dxa"/>
            <w:vAlign w:val="center"/>
          </w:tcPr>
          <w:p>
            <w:pPr>
              <w:spacing w:line="600" w:lineRule="exact"/>
              <w:ind w:firstLine="480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分值</w:t>
            </w:r>
          </w:p>
        </w:tc>
        <w:tc>
          <w:tcPr>
            <w:tcW w:w="1500" w:type="dxa"/>
            <w:vAlign w:val="center"/>
          </w:tcPr>
          <w:p>
            <w:pPr>
              <w:spacing w:line="600" w:lineRule="exact"/>
              <w:ind w:firstLine="480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1501" w:type="dxa"/>
            <w:vAlign w:val="center"/>
          </w:tcPr>
          <w:p>
            <w:pPr>
              <w:spacing w:line="600" w:lineRule="exact"/>
              <w:ind w:firstLine="480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30</w:t>
            </w:r>
          </w:p>
        </w:tc>
        <w:tc>
          <w:tcPr>
            <w:tcW w:w="1501" w:type="dxa"/>
            <w:vAlign w:val="center"/>
          </w:tcPr>
          <w:p>
            <w:pPr>
              <w:spacing w:line="600" w:lineRule="exact"/>
              <w:ind w:firstLine="480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40</w:t>
            </w:r>
          </w:p>
        </w:tc>
        <w:tc>
          <w:tcPr>
            <w:tcW w:w="1501" w:type="dxa"/>
            <w:vAlign w:val="center"/>
          </w:tcPr>
          <w:p>
            <w:pPr>
              <w:spacing w:line="600" w:lineRule="exact"/>
              <w:ind w:firstLine="480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10</w:t>
            </w:r>
          </w:p>
        </w:tc>
        <w:tc>
          <w:tcPr>
            <w:tcW w:w="1501" w:type="dxa"/>
            <w:vAlign w:val="center"/>
          </w:tcPr>
          <w:p>
            <w:pPr>
              <w:spacing w:line="600" w:lineRule="exact"/>
              <w:ind w:firstLine="480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9</w:t>
            </w: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0</w:t>
            </w:r>
          </w:p>
        </w:tc>
      </w:tr>
    </w:tbl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bCs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（一）存在的主要问题</w:t>
      </w:r>
      <w:bookmarkStart w:id="0" w:name="_GoBack"/>
      <w:bookmarkEnd w:id="0"/>
    </w:p>
    <w:p>
      <w:pPr>
        <w:spacing w:line="60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培训内容有待进一步丰富创新，在经济领域的培训内容较少，为我区经济发展建言献策，提供人才支持的能力有待提高。</w:t>
      </w:r>
    </w:p>
    <w:p>
      <w:pPr>
        <w:numPr>
          <w:ilvl w:val="0"/>
          <w:numId w:val="4"/>
        </w:numPr>
        <w:spacing w:line="560" w:lineRule="exact"/>
        <w:ind w:firstLine="640" w:firstLineChars="200"/>
        <w:rPr>
          <w:rFonts w:hint="eastAsia" w:ascii="仿宋" w:hAnsi="仿宋" w:eastAsia="仿宋" w:cs="仿宋"/>
          <w:bCs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针对问题提出具体的改进措施或建议</w:t>
      </w:r>
    </w:p>
    <w:p>
      <w:pPr>
        <w:pStyle w:val="2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在进一步加强理论、思想教育的同时也要注重经济领域相关内容的培训，为我区经济发展提供更大的助力。按照区委要求，对标先进，挖掘潜力，提升水平，以奋发有为的精神状态完成好各项工作任务。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</w:p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00000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MS-UIGothic,Bold">
    <w:altName w:val="Malgun Gothic"/>
    <w:panose1 w:val="00000000000000000000"/>
    <w:charset w:val="81"/>
    <w:family w:val="auto"/>
    <w:pitch w:val="default"/>
    <w:sig w:usb0="00000000" w:usb1="00000000" w:usb2="00000010" w:usb3="00000000" w:csb0="0008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DengXian-Bold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TimesNewRomanPSMT">
    <w:altName w:val="Arial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仿宋_GB2312">
    <w:altName w:val="仿宋"/>
    <w:panose1 w:val="02010609030101010101"/>
    <w:charset w:val="00"/>
    <w:family w:val="auto"/>
    <w:pitch w:val="default"/>
    <w:sig w:usb0="00000000" w:usb1="00000000" w:usb2="00000000" w:usb3="00000000" w:csb0="00000000" w:csb1="00000000"/>
  </w:font>
  <w:font w:name="方正小标宋_GBK">
    <w:altName w:val="宋体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Sun,Bold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DengXian-Regular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Arial Narrow">
    <w:panose1 w:val="020B0606020202030204"/>
    <w:charset w:val="00"/>
    <w:family w:val="auto"/>
    <w:pitch w:val="default"/>
    <w:sig w:usb0="00000287" w:usb1="000008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方正粗黑宋简体">
    <w:altName w:val="宋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微软简标宋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abstractNum w:abstractNumId="2">
    <w:nsid w:val="6417D335"/>
    <w:multiLevelType w:val="singleLevel"/>
    <w:tmpl w:val="6417D335"/>
    <w:lvl w:ilvl="0" w:tentative="0">
      <w:start w:val="2"/>
      <w:numFmt w:val="chineseCounting"/>
      <w:suff w:val="nothing"/>
      <w:lvlText w:val="（%1）"/>
      <w:lvlJc w:val="left"/>
    </w:lvl>
  </w:abstractNum>
  <w:abstractNum w:abstractNumId="3">
    <w:nsid w:val="663AE463"/>
    <w:multiLevelType w:val="singleLevel"/>
    <w:tmpl w:val="663AE463"/>
    <w:lvl w:ilvl="0" w:tentative="0">
      <w:start w:val="2"/>
      <w:numFmt w:val="chineseCounting"/>
      <w:suff w:val="nothing"/>
      <w:lvlText w:val="（%1）"/>
      <w:lvlJc w:val="left"/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52E4763"/>
    <w:rsid w:val="07956271"/>
    <w:rsid w:val="09113212"/>
    <w:rsid w:val="096458C1"/>
    <w:rsid w:val="09721397"/>
    <w:rsid w:val="0BB63BED"/>
    <w:rsid w:val="0EB97A43"/>
    <w:rsid w:val="0EBD2122"/>
    <w:rsid w:val="0F214EAE"/>
    <w:rsid w:val="11B71E6A"/>
    <w:rsid w:val="141C3646"/>
    <w:rsid w:val="1742215A"/>
    <w:rsid w:val="1A3D0C01"/>
    <w:rsid w:val="1AAF0063"/>
    <w:rsid w:val="1B6A2EB3"/>
    <w:rsid w:val="1B780D24"/>
    <w:rsid w:val="1BE140DE"/>
    <w:rsid w:val="23AC5213"/>
    <w:rsid w:val="242A0E7D"/>
    <w:rsid w:val="248C197D"/>
    <w:rsid w:val="252959AF"/>
    <w:rsid w:val="277A6671"/>
    <w:rsid w:val="27A04D39"/>
    <w:rsid w:val="28687BBA"/>
    <w:rsid w:val="292D35B7"/>
    <w:rsid w:val="2F845EE2"/>
    <w:rsid w:val="30BD13A5"/>
    <w:rsid w:val="30C055B8"/>
    <w:rsid w:val="33EB6CFF"/>
    <w:rsid w:val="343C7283"/>
    <w:rsid w:val="35A12947"/>
    <w:rsid w:val="37387040"/>
    <w:rsid w:val="37727C22"/>
    <w:rsid w:val="3B625C0A"/>
    <w:rsid w:val="3C7817C2"/>
    <w:rsid w:val="3CEE1963"/>
    <w:rsid w:val="3E3E1D36"/>
    <w:rsid w:val="3E5539F2"/>
    <w:rsid w:val="436B78D3"/>
    <w:rsid w:val="46852B7F"/>
    <w:rsid w:val="47DB71C3"/>
    <w:rsid w:val="4C9C27FE"/>
    <w:rsid w:val="4CFF591F"/>
    <w:rsid w:val="512260B4"/>
    <w:rsid w:val="52BD6ACB"/>
    <w:rsid w:val="55537534"/>
    <w:rsid w:val="560E26D0"/>
    <w:rsid w:val="561A74F1"/>
    <w:rsid w:val="590B5944"/>
    <w:rsid w:val="597244E8"/>
    <w:rsid w:val="5BFF07FC"/>
    <w:rsid w:val="5CDF4FE4"/>
    <w:rsid w:val="5EB71C30"/>
    <w:rsid w:val="636C0773"/>
    <w:rsid w:val="66AF0CE5"/>
    <w:rsid w:val="6AC537CF"/>
    <w:rsid w:val="6E5B14A6"/>
    <w:rsid w:val="711B255E"/>
    <w:rsid w:val="75A50C43"/>
    <w:rsid w:val="76E03B76"/>
    <w:rsid w:val="79BD7169"/>
    <w:rsid w:val="7BB51E06"/>
    <w:rsid w:val="7BEC5CD0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a heading"/>
    <w:basedOn w:val="1"/>
    <w:next w:val="1"/>
    <w:uiPriority w:val="0"/>
    <w:pPr>
      <w:spacing w:before="120"/>
    </w:pPr>
    <w:rPr>
      <w:rFonts w:ascii="Cambria" w:hAnsi="Cambria" w:eastAsia="宋体" w:cs="Times New Roman"/>
      <w:sz w:val="24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100</Words>
  <Characters>570</Characters>
  <Lines>4</Lines>
  <Paragraphs>1</Paragraphs>
  <ScaleCrop>false</ScaleCrop>
  <LinksUpToDate>false</LinksUpToDate>
  <CharactersWithSpaces>669</CharactersWithSpaces>
  <Application>WPS Office_10.8.0.6157_F1E327BC-269C-435d-A152-05C5408002CA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2024-03-06T07:40:00Z</cp:lastPrinted>
  <dcterms:modified xsi:type="dcterms:W3CDTF">2026-04-28T01:44:50Z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2052-10.8.0.6157</vt:lpwstr>
  </property>
  <property fmtid="{D5CDD505-2E9C-101B-9397-08002B2CF9AE}" pid="3" name="ICV">
    <vt:lpwstr>96934721B1514D3FBAA28020338CE855_12</vt:lpwstr>
  </property>
</Properties>
</file>