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0658804C">
      <w:pPr>
        <w:spacing w:line="560" w:lineRule="exact"/>
        <w:jc w:val="center"/>
        <w:rPr>
          <w:rFonts w:ascii="宋体" w:hAnsi="宋体" w:cs="宋体"/>
          <w:b/>
          <w:bCs/>
          <w:sz w:val="44"/>
          <w:szCs w:val="44"/>
        </w:rPr>
      </w:pPr>
    </w:p>
    <w:p w14:paraId="47D4E091">
      <w:pPr>
        <w:spacing w:line="560" w:lineRule="exact"/>
        <w:jc w:val="center"/>
        <w:rPr>
          <w:rFonts w:hint="eastAsia" w:ascii="宋体" w:hAnsi="宋体" w:eastAsia="宋体" w:cs="宋体"/>
          <w:b/>
          <w:bCs/>
          <w:sz w:val="44"/>
          <w:szCs w:val="44"/>
          <w:lang w:val="en-US" w:eastAsia="zh-CN"/>
        </w:rPr>
      </w:pPr>
      <w:r>
        <w:rPr>
          <w:rFonts w:hint="eastAsia" w:ascii="宋体" w:hAnsi="宋体" w:cs="宋体"/>
          <w:b/>
          <w:bCs/>
          <w:sz w:val="44"/>
          <w:szCs w:val="44"/>
          <w:lang w:val="en-US" w:eastAsia="zh-CN"/>
        </w:rPr>
        <w:t>新华区工商联</w:t>
      </w:r>
    </w:p>
    <w:p w14:paraId="24A9D888">
      <w:pPr>
        <w:spacing w:line="560" w:lineRule="exact"/>
        <w:jc w:val="center"/>
        <w:rPr>
          <w:rFonts w:ascii="宋体" w:hAnsi="宋体" w:cs="宋体"/>
          <w:sz w:val="32"/>
          <w:szCs w:val="32"/>
        </w:rPr>
      </w:pPr>
      <w:r>
        <w:rPr>
          <w:rFonts w:hint="eastAsia" w:ascii="宋体" w:hAnsi="宋体" w:cs="宋体"/>
          <w:b/>
          <w:bCs/>
          <w:sz w:val="44"/>
          <w:szCs w:val="44"/>
        </w:rPr>
        <w:t>2025年度整体支出绩效自评报告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贯彻落实区委区政府《关于全面落实预算绩效管理的实施意见》（新华发〔2019〕9号）文件精神，遵循“科学性、规范性、客观性和公正性”的原则，对</w:t>
      </w:r>
      <w:r>
        <w:rPr>
          <w:rFonts w:hint="eastAsia" w:ascii="仿宋" w:hAnsi="仿宋" w:eastAsia="仿宋"/>
          <w:sz w:val="32"/>
          <w:szCs w:val="32"/>
          <w:lang w:val="en-US" w:eastAsia="zh-CN"/>
        </w:rPr>
        <w:t>工商联</w:t>
      </w:r>
      <w:r>
        <w:rPr>
          <w:rFonts w:hint="eastAsia" w:ascii="仿宋" w:hAnsi="仿宋" w:eastAsia="仿宋"/>
          <w:sz w:val="32"/>
          <w:szCs w:val="32"/>
        </w:rPr>
        <w:t>2025年整体支出情况实施了财政支出绩效自评价，形成本评价报告。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7D8652F8">
      <w:pPr>
        <w:pStyle w:val="6"/>
        <w:rPr>
          <w:rFonts w:hint="eastAsia" w:ascii="仿宋" w:hAnsi="仿宋" w:eastAsia="仿宋" w:cs="黑体"/>
          <w:kern w:val="2"/>
          <w:sz w:val="32"/>
          <w:szCs w:val="32"/>
          <w:lang w:val="en-US" w:eastAsia="zh-CN" w:bidi="ar-SA"/>
        </w:rPr>
      </w:pPr>
      <w:r>
        <w:rPr>
          <w:rFonts w:hint="eastAsia" w:ascii="仿宋" w:hAnsi="仿宋" w:eastAsia="仿宋" w:cs="黑体"/>
          <w:b/>
          <w:bCs/>
          <w:kern w:val="2"/>
          <w:sz w:val="32"/>
          <w:szCs w:val="32"/>
          <w:lang w:val="en-US" w:eastAsia="zh-CN" w:bidi="ar-SA"/>
        </w:rPr>
        <w:t>主要职能：</w:t>
      </w:r>
      <w:r>
        <w:rPr>
          <w:rFonts w:hint="eastAsia" w:ascii="仿宋" w:hAnsi="仿宋" w:eastAsia="仿宋" w:cs="黑体"/>
          <w:kern w:val="2"/>
          <w:sz w:val="32"/>
          <w:szCs w:val="32"/>
          <w:lang w:val="en-US" w:eastAsia="zh-CN" w:bidi="ar-SA"/>
        </w:rPr>
        <w:t>工商业联合会是党领导的工商界组成的人民团体和民间商会，具有统战性、经济性、民间性相统一的特征，是党委、政府联系非公有制经济人士的桥梁和纽带。主要任务职责是：</w:t>
      </w:r>
    </w:p>
    <w:p w14:paraId="2739F92B">
      <w:pPr>
        <w:pStyle w:val="6"/>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1、参与区委、政府大政方针及重要问题的政治协商，发挥民主监督作用，积极参政议政。</w:t>
      </w:r>
    </w:p>
    <w:p w14:paraId="43343C60">
      <w:pPr>
        <w:pStyle w:val="6"/>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2、密切与会员的联系，畅通反映意见建议的渠道，表彰宣传先进典型，做好工商界代表人士政治安排的推荐工作。</w:t>
      </w:r>
    </w:p>
    <w:p w14:paraId="08CB4131">
      <w:pPr>
        <w:pStyle w:val="6"/>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3、加强和改进非公有制经济人士思想政治工作。引导会员学习贯彻党和国家的方针政策，自觉走共同富裕道路，爱国、敬业、诚信、守法、贡献，当好中国特色社会主义事业建设者。 引导会员积极承担社会责任，加强企业文化建设，支持企业党建工作和工会建设。</w:t>
      </w:r>
    </w:p>
    <w:p w14:paraId="1E31E4F0">
      <w:pPr>
        <w:pStyle w:val="6"/>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4、引导会员按照科学发展观的要求，转变经济发展方式，重视生态环保，建立和谐劳动关系。遵守国家的法律、法规，规范经营、照章纳税，建立现代企业制度，维护市场经济秩序。</w:t>
      </w:r>
    </w:p>
    <w:p w14:paraId="6A6DC3D6">
      <w:pPr>
        <w:pStyle w:val="6"/>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5、代表并维护会员的合法权益，反映会员的意见、要求和建议，参与经济纠纷的调解、仲裁。</w:t>
      </w:r>
    </w:p>
    <w:p w14:paraId="0762CEA8">
      <w:pPr>
        <w:pStyle w:val="6"/>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6、为会员提供培训、融资、科技、法律、信息咨询等服务，提供对内、对外经贸交流服务，提供公共关系沟通协调服务，帮助会员增强自主创新能力，提高核心竞争力和可持续发展能力。</w:t>
      </w:r>
    </w:p>
    <w:p w14:paraId="124D93AB">
      <w:pPr>
        <w:pStyle w:val="6"/>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7、承办区委、区政府委托事项。</w:t>
      </w:r>
    </w:p>
    <w:p w14:paraId="004FD6FE">
      <w:pPr>
        <w:keepNext w:val="0"/>
        <w:keepLines w:val="0"/>
        <w:pageBreakBefore w:val="0"/>
        <w:widowControl w:val="0"/>
        <w:kinsoku/>
        <w:wordWrap/>
        <w:overflowPunct/>
        <w:topLinePunct w:val="0"/>
        <w:autoSpaceDE/>
        <w:autoSpaceDN/>
        <w:bidi w:val="0"/>
        <w:adjustRightInd/>
        <w:snapToGrid/>
        <w:spacing w:before="0" w:beforeLines="0" w:after="0" w:afterLines="0" w:line="520" w:lineRule="exact"/>
        <w:ind w:left="0" w:leftChars="0" w:right="0" w:rightChars="0" w:firstLine="640"/>
        <w:textAlignment w:val="auto"/>
        <w:outlineLvl w:val="9"/>
        <w:rPr>
          <w:rFonts w:hint="eastAsia" w:ascii="仿宋" w:hAnsi="仿宋" w:eastAsia="仿宋" w:cs="仿宋"/>
          <w:sz w:val="32"/>
          <w:szCs w:val="32"/>
          <w:u w:val="none"/>
          <w:shd w:val="clear" w:color="auto" w:fill="FFFFFF"/>
          <w:lang w:val="en-US" w:eastAsia="zh-CN"/>
        </w:rPr>
      </w:pPr>
      <w:r>
        <w:rPr>
          <w:rFonts w:hint="eastAsia" w:ascii="仿宋" w:hAnsi="仿宋" w:eastAsia="仿宋"/>
          <w:b/>
          <w:bCs/>
          <w:sz w:val="32"/>
          <w:szCs w:val="32"/>
          <w:lang w:val="en-US" w:eastAsia="zh-CN"/>
        </w:rPr>
        <w:t>组织机构及人员：</w:t>
      </w:r>
      <w:r>
        <w:rPr>
          <w:rFonts w:hint="eastAsia" w:ascii="仿宋" w:hAnsi="仿宋" w:eastAsia="仿宋" w:cs="仿宋"/>
          <w:sz w:val="32"/>
          <w:szCs w:val="32"/>
          <w:u w:val="none"/>
          <w:shd w:val="clear" w:color="auto" w:fill="FFFFFF"/>
          <w:lang w:val="en-US" w:eastAsia="zh-CN"/>
        </w:rPr>
        <w:t>新华区工商联为群团组织，行政编制，编制4人，实有3人。</w:t>
      </w:r>
    </w:p>
    <w:p w14:paraId="5CC90841">
      <w:pPr>
        <w:keepNext w:val="0"/>
        <w:keepLines w:val="0"/>
        <w:pageBreakBefore w:val="0"/>
        <w:widowControl w:val="0"/>
        <w:kinsoku/>
        <w:wordWrap/>
        <w:overflowPunct/>
        <w:topLinePunct w:val="0"/>
        <w:autoSpaceDE/>
        <w:autoSpaceDN/>
        <w:bidi w:val="0"/>
        <w:adjustRightInd/>
        <w:snapToGrid/>
        <w:spacing w:before="0" w:beforeLines="0" w:after="0" w:afterLines="0" w:line="520" w:lineRule="exact"/>
        <w:ind w:left="0" w:leftChars="0" w:right="0" w:rightChars="0" w:firstLine="640"/>
        <w:textAlignment w:val="auto"/>
        <w:outlineLvl w:val="9"/>
        <w:rPr>
          <w:rFonts w:hint="default" w:ascii="仿宋" w:hAnsi="仿宋" w:eastAsia="仿宋" w:cs="仿宋"/>
          <w:sz w:val="32"/>
          <w:szCs w:val="32"/>
          <w:u w:val="none"/>
          <w:shd w:val="clear" w:color="auto" w:fill="FFFFFF"/>
          <w:lang w:val="en-US" w:eastAsia="zh-CN"/>
        </w:rPr>
      </w:pPr>
      <w:r>
        <w:rPr>
          <w:rFonts w:hint="eastAsia" w:ascii="仿宋" w:hAnsi="仿宋" w:eastAsia="仿宋" w:cs="仿宋"/>
          <w:b/>
          <w:bCs/>
          <w:sz w:val="32"/>
          <w:szCs w:val="32"/>
          <w:u w:val="none"/>
          <w:shd w:val="clear" w:color="auto" w:fill="FFFFFF"/>
          <w:lang w:val="en-US" w:eastAsia="zh-CN"/>
        </w:rPr>
        <w:t>资产情况:</w:t>
      </w:r>
      <w:r>
        <w:rPr>
          <w:rFonts w:hint="eastAsia" w:ascii="仿宋" w:hAnsi="仿宋" w:eastAsia="仿宋" w:cs="仿宋"/>
          <w:sz w:val="32"/>
          <w:szCs w:val="32"/>
          <w:u w:val="none"/>
          <w:shd w:val="clear" w:color="auto" w:fill="FFFFFF"/>
          <w:lang w:val="en-US" w:eastAsia="zh-CN"/>
        </w:rPr>
        <w:t>2025年末固定资产原</w:t>
      </w:r>
      <w:r>
        <w:rPr>
          <w:rFonts w:hint="eastAsia" w:ascii="仿宋" w:hAnsi="仿宋" w:eastAsia="仿宋" w:cs="仿宋"/>
          <w:color w:val="auto"/>
          <w:sz w:val="32"/>
          <w:szCs w:val="32"/>
          <w:u w:val="none"/>
          <w:shd w:val="clear" w:color="auto" w:fill="FFFFFF"/>
          <w:lang w:val="en-US" w:eastAsia="zh-CN"/>
        </w:rPr>
        <w:t>值80673.36</w:t>
      </w:r>
      <w:r>
        <w:rPr>
          <w:rFonts w:hint="eastAsia" w:ascii="仿宋" w:hAnsi="仿宋" w:eastAsia="仿宋" w:cs="仿宋"/>
          <w:sz w:val="32"/>
          <w:szCs w:val="32"/>
          <w:u w:val="none"/>
          <w:shd w:val="clear" w:color="auto" w:fill="FFFFFF"/>
          <w:lang w:val="en-US" w:eastAsia="zh-CN"/>
        </w:rPr>
        <w:t>元。</w:t>
      </w:r>
    </w:p>
    <w:p w14:paraId="0639A3DC">
      <w:pPr>
        <w:numPr>
          <w:ilvl w:val="0"/>
          <w:numId w:val="1"/>
        </w:numPr>
        <w:adjustRightInd w:val="0"/>
        <w:snapToGrid w:val="0"/>
        <w:spacing w:line="560" w:lineRule="exact"/>
        <w:ind w:firstLine="640" w:firstLineChars="200"/>
        <w:rPr>
          <w:rFonts w:hint="eastAsia" w:ascii="楷体" w:hAnsi="楷体" w:eastAsia="楷体" w:cs="楷体_GB2312"/>
          <w:bCs/>
          <w:sz w:val="32"/>
          <w:szCs w:val="32"/>
          <w:lang w:eastAsia="zh-CN"/>
        </w:rPr>
      </w:pPr>
      <w:r>
        <w:rPr>
          <w:rFonts w:hint="eastAsia" w:ascii="楷体" w:hAnsi="楷体" w:eastAsia="楷体" w:cs="楷体_GB2312"/>
          <w:bCs/>
          <w:sz w:val="32"/>
          <w:szCs w:val="32"/>
        </w:rPr>
        <w:t>部门收支预决算情况</w:t>
      </w:r>
      <w:r>
        <w:rPr>
          <w:rFonts w:hint="eastAsia" w:ascii="楷体" w:hAnsi="楷体" w:eastAsia="楷体" w:cs="楷体_GB2312"/>
          <w:bCs/>
          <w:sz w:val="32"/>
          <w:szCs w:val="32"/>
          <w:lang w:eastAsia="zh-CN"/>
        </w:rPr>
        <w:t>：</w:t>
      </w:r>
    </w:p>
    <w:p w14:paraId="3D4C8F5C">
      <w:pPr>
        <w:keepNext w:val="0"/>
        <w:keepLines w:val="0"/>
        <w:pageBreakBefore w:val="0"/>
        <w:widowControl w:val="0"/>
        <w:kinsoku/>
        <w:wordWrap/>
        <w:overflowPunct/>
        <w:topLinePunct w:val="0"/>
        <w:autoSpaceDE/>
        <w:autoSpaceDN/>
        <w:bidi w:val="0"/>
        <w:adjustRightInd/>
        <w:snapToGrid/>
        <w:spacing w:before="0" w:beforeLines="0" w:after="0" w:afterLines="0" w:line="520" w:lineRule="exact"/>
        <w:ind w:left="0" w:leftChars="0" w:right="0" w:rightChars="0" w:firstLine="640"/>
        <w:textAlignment w:val="auto"/>
        <w:outlineLvl w:val="9"/>
        <w:rPr>
          <w:rFonts w:hint="eastAsia" w:ascii="楷体" w:hAnsi="楷体" w:eastAsia="楷体" w:cs="楷体_GB2312"/>
          <w:bCs/>
          <w:sz w:val="32"/>
          <w:szCs w:val="32"/>
        </w:rPr>
      </w:pPr>
      <w:r>
        <w:rPr>
          <w:rFonts w:hint="eastAsia" w:ascii="仿宋" w:hAnsi="仿宋" w:eastAsia="仿宋" w:cs="仿宋"/>
          <w:sz w:val="32"/>
          <w:szCs w:val="32"/>
          <w:u w:val="none"/>
          <w:shd w:val="clear" w:color="auto" w:fill="FFFFFF"/>
          <w:lang w:val="en-US" w:eastAsia="zh-CN"/>
        </w:rPr>
        <w:t>2025年全年项目资金收入2.53万元，支出2.53万元。</w:t>
      </w:r>
    </w:p>
    <w:p w14:paraId="22C4084E">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_GB2312"/>
          <w:bCs/>
          <w:sz w:val="32"/>
          <w:szCs w:val="32"/>
        </w:rPr>
        <w:t>（三）部门整体支出绩效目标、指标</w:t>
      </w:r>
    </w:p>
    <w:p w14:paraId="2AAF0C0D">
      <w:pPr>
        <w:spacing w:before="10" w:after="10"/>
        <w:ind w:firstLine="560" w:firstLineChars="200"/>
        <w:jc w:val="left"/>
        <w:outlineLvl w:val="1"/>
      </w:pPr>
      <w:bookmarkStart w:id="0" w:name="_Toc_2_2_0000000001"/>
      <w:r>
        <w:rPr>
          <w:rFonts w:hint="eastAsia" w:ascii="方正黑体_GBK" w:hAnsi="方正黑体_GBK" w:eastAsia="方正黑体_GBK" w:cs="方正黑体_GBK"/>
          <w:color w:val="000000"/>
          <w:sz w:val="28"/>
          <w:lang w:val="en-US" w:eastAsia="zh-CN"/>
        </w:rPr>
        <w:t>1.</w:t>
      </w:r>
      <w:r>
        <w:rPr>
          <w:rFonts w:ascii="方正黑体_GBK" w:hAnsi="方正黑体_GBK" w:eastAsia="方正黑体_GBK" w:cs="方正黑体_GBK"/>
          <w:color w:val="000000"/>
          <w:sz w:val="28"/>
        </w:rPr>
        <w:t>总体绩效目标</w:t>
      </w:r>
      <w:bookmarkEnd w:id="0"/>
    </w:p>
    <w:p w14:paraId="0D41D6E2">
      <w:pPr>
        <w:pStyle w:val="7"/>
        <w:rPr>
          <w:rFonts w:hint="eastAsia" w:ascii="仿宋" w:hAnsi="仿宋" w:eastAsia="仿宋" w:cs="仿宋"/>
          <w:sz w:val="32"/>
          <w:szCs w:val="32"/>
        </w:rPr>
      </w:pPr>
      <w:r>
        <w:rPr>
          <w:rFonts w:hint="eastAsia" w:ascii="仿宋" w:hAnsi="仿宋" w:eastAsia="仿宋" w:cs="仿宋"/>
          <w:sz w:val="32"/>
          <w:szCs w:val="32"/>
        </w:rPr>
        <w:t>参政议政、社会服务等事项：增强组织凝聚力和社会影响力，提升参政议政水平。组织经贸洽谈、招商引资等经济活动，助力区域级发展；组织建设及宣传教育、培训事项：发展工商联会员，壮大工商联队伍，指导基层工商联组织建设。组织培训、思想政治教育，对非公有制经济优秀事迹进行宣传等事项；工商联事务管理，保障工商联机关各项工作顺利开展：档案、信息、机关各类会议、财务、机要、保密、安全保卫、固定资产管理和各项后勤保障工作。</w:t>
      </w:r>
    </w:p>
    <w:p w14:paraId="197235F9">
      <w:pPr>
        <w:spacing w:before="10" w:after="10"/>
        <w:ind w:firstLine="560"/>
        <w:jc w:val="left"/>
        <w:outlineLvl w:val="1"/>
      </w:pPr>
      <w:bookmarkStart w:id="1" w:name="_Toc_2_2_0000000002"/>
      <w:r>
        <w:rPr>
          <w:rFonts w:hint="eastAsia" w:ascii="方正黑体_GBK" w:hAnsi="方正黑体_GBK" w:eastAsia="方正黑体_GBK" w:cs="方正黑体_GBK"/>
          <w:color w:val="000000"/>
          <w:sz w:val="28"/>
          <w:lang w:val="en-US" w:eastAsia="zh-CN"/>
        </w:rPr>
        <w:t>2.</w:t>
      </w:r>
      <w:r>
        <w:rPr>
          <w:rFonts w:ascii="方正黑体_GBK" w:hAnsi="方正黑体_GBK" w:eastAsia="方正黑体_GBK" w:cs="方正黑体_GBK"/>
          <w:color w:val="000000"/>
          <w:sz w:val="28"/>
        </w:rPr>
        <w:t>分项绩效目标</w:t>
      </w:r>
      <w:bookmarkEnd w:id="1"/>
    </w:p>
    <w:p w14:paraId="73E5F91E">
      <w:pPr>
        <w:pStyle w:val="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1</w:t>
      </w:r>
      <w:r>
        <w:rPr>
          <w:rFonts w:hint="eastAsia" w:ascii="仿宋" w:hAnsi="仿宋" w:eastAsia="仿宋" w:cs="仿宋"/>
          <w:sz w:val="32"/>
          <w:szCs w:val="32"/>
          <w:lang w:eastAsia="zh-CN"/>
        </w:rPr>
        <w:t>）</w:t>
      </w:r>
      <w:r>
        <w:rPr>
          <w:rFonts w:hint="eastAsia" w:ascii="仿宋" w:hAnsi="仿宋" w:eastAsia="仿宋" w:cs="仿宋"/>
          <w:sz w:val="32"/>
          <w:szCs w:val="32"/>
        </w:rPr>
        <w:t>参政议政、社会服务事项</w:t>
      </w:r>
    </w:p>
    <w:p w14:paraId="58DD4B37">
      <w:pPr>
        <w:pStyle w:val="8"/>
        <w:rPr>
          <w:rFonts w:hint="eastAsia" w:ascii="仿宋" w:hAnsi="仿宋" w:eastAsia="仿宋" w:cs="仿宋"/>
          <w:sz w:val="32"/>
          <w:szCs w:val="32"/>
        </w:rPr>
      </w:pPr>
      <w:r>
        <w:rPr>
          <w:rFonts w:hint="eastAsia" w:ascii="仿宋" w:hAnsi="仿宋" w:eastAsia="仿宋" w:cs="仿宋"/>
          <w:sz w:val="32"/>
          <w:szCs w:val="32"/>
        </w:rPr>
        <w:t>绩效目标：增强组织凝聚力和社会影响力，提升参政议政水平。组织经贸洽谈、招商引资等经济活动，助力区域级发展；</w:t>
      </w:r>
    </w:p>
    <w:p w14:paraId="6CA66CC1">
      <w:pPr>
        <w:pStyle w:val="8"/>
        <w:rPr>
          <w:rFonts w:hint="eastAsia" w:ascii="仿宋" w:hAnsi="仿宋" w:eastAsia="仿宋" w:cs="仿宋"/>
          <w:sz w:val="32"/>
          <w:szCs w:val="32"/>
        </w:rPr>
      </w:pPr>
      <w:r>
        <w:rPr>
          <w:rFonts w:hint="eastAsia" w:ascii="仿宋" w:hAnsi="仿宋" w:eastAsia="仿宋" w:cs="仿宋"/>
          <w:sz w:val="32"/>
          <w:szCs w:val="32"/>
        </w:rPr>
        <w:t>绩效指标：提交区政协、人大集体提案；提交调研报告数量。组织招商引资活动次数，法律维权次数，银企对接会次数。</w:t>
      </w:r>
    </w:p>
    <w:p w14:paraId="258FF751">
      <w:pPr>
        <w:pStyle w:val="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w:t>
      </w:r>
      <w:r>
        <w:rPr>
          <w:rFonts w:hint="eastAsia" w:ascii="仿宋" w:hAnsi="仿宋" w:eastAsia="仿宋" w:cs="仿宋"/>
          <w:sz w:val="32"/>
          <w:szCs w:val="32"/>
        </w:rPr>
        <w:t>组织建设</w:t>
      </w:r>
    </w:p>
    <w:p w14:paraId="5009C63C">
      <w:pPr>
        <w:pStyle w:val="8"/>
        <w:rPr>
          <w:rFonts w:hint="eastAsia" w:ascii="仿宋" w:hAnsi="仿宋" w:eastAsia="仿宋" w:cs="仿宋"/>
          <w:sz w:val="32"/>
          <w:szCs w:val="32"/>
        </w:rPr>
      </w:pPr>
      <w:r>
        <w:rPr>
          <w:rFonts w:hint="eastAsia" w:ascii="仿宋" w:hAnsi="仿宋" w:eastAsia="仿宋" w:cs="仿宋"/>
          <w:sz w:val="32"/>
          <w:szCs w:val="32"/>
        </w:rPr>
        <w:t>绩效目标：组织建设及宣传教育、培训事项：发展工商联会员，壮大工商联队伍，指导基层工商联组织建设。组织培训、思想政治教育，对非公有制经济优秀事迹进行宣传等事项</w:t>
      </w:r>
    </w:p>
    <w:p w14:paraId="3C90E5E4">
      <w:pPr>
        <w:pStyle w:val="8"/>
        <w:rPr>
          <w:rFonts w:hint="eastAsia" w:ascii="仿宋" w:hAnsi="仿宋" w:eastAsia="仿宋" w:cs="仿宋"/>
          <w:sz w:val="32"/>
          <w:szCs w:val="32"/>
        </w:rPr>
      </w:pPr>
      <w:r>
        <w:rPr>
          <w:rFonts w:hint="eastAsia" w:ascii="仿宋" w:hAnsi="仿宋" w:eastAsia="仿宋" w:cs="仿宋"/>
          <w:sz w:val="32"/>
          <w:szCs w:val="32"/>
        </w:rPr>
        <w:t>绩效指标：新会员培训率，培训人次，培训合格率。</w:t>
      </w:r>
    </w:p>
    <w:p w14:paraId="5A91AFE7">
      <w:pPr>
        <w:pStyle w:val="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rPr>
        <w:t>3</w:t>
      </w:r>
      <w:r>
        <w:rPr>
          <w:rFonts w:hint="eastAsia" w:ascii="仿宋" w:hAnsi="仿宋" w:eastAsia="仿宋" w:cs="仿宋"/>
          <w:sz w:val="32"/>
          <w:szCs w:val="32"/>
          <w:lang w:eastAsia="zh-CN"/>
        </w:rPr>
        <w:t>）</w:t>
      </w:r>
      <w:r>
        <w:rPr>
          <w:rFonts w:hint="eastAsia" w:ascii="仿宋" w:hAnsi="仿宋" w:eastAsia="仿宋" w:cs="仿宋"/>
          <w:sz w:val="32"/>
          <w:szCs w:val="32"/>
        </w:rPr>
        <w:t>综合性事务管理</w:t>
      </w:r>
    </w:p>
    <w:p w14:paraId="4081A0CC">
      <w:pPr>
        <w:pStyle w:val="8"/>
        <w:rPr>
          <w:rFonts w:hint="eastAsia" w:ascii="仿宋" w:hAnsi="仿宋" w:eastAsia="仿宋" w:cs="仿宋"/>
          <w:sz w:val="32"/>
          <w:szCs w:val="32"/>
        </w:rPr>
      </w:pPr>
      <w:r>
        <w:rPr>
          <w:rFonts w:hint="eastAsia" w:ascii="仿宋" w:hAnsi="仿宋" w:eastAsia="仿宋" w:cs="仿宋"/>
          <w:sz w:val="32"/>
          <w:szCs w:val="32"/>
        </w:rPr>
        <w:t>绩效目标：工商联机关档案、信息、机关各类会议、财务、机要、保密、安全保卫、固定资产管理和各项后勤保障工作。</w:t>
      </w:r>
    </w:p>
    <w:p w14:paraId="20D80C12">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绩效指标：综合事务工作任务完成率。</w:t>
      </w: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C1B306D">
      <w:pPr>
        <w:spacing w:line="560" w:lineRule="exact"/>
        <w:rPr>
          <w:rFonts w:hint="eastAsia" w:ascii="仿宋" w:hAnsi="仿宋" w:eastAsia="仿宋"/>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064D2357">
      <w:pPr>
        <w:keepNext w:val="0"/>
        <w:keepLines w:val="0"/>
        <w:pageBreakBefore w:val="0"/>
        <w:widowControl w:val="0"/>
        <w:kinsoku/>
        <w:wordWrap/>
        <w:overflowPunct/>
        <w:topLinePunct w:val="0"/>
        <w:autoSpaceDE w:val="0"/>
        <w:autoSpaceDN w:val="0"/>
        <w:bidi w:val="0"/>
        <w:adjustRightInd w:val="0"/>
        <w:spacing w:line="520" w:lineRule="exact"/>
        <w:textAlignment w:val="auto"/>
        <w:rPr>
          <w:rFonts w:hint="eastAsia" w:ascii="仿宋" w:hAnsi="仿宋" w:eastAsia="仿宋" w:cs="仿宋"/>
          <w:kern w:val="0"/>
          <w:sz w:val="32"/>
          <w:szCs w:val="32"/>
        </w:rPr>
      </w:pPr>
      <w:r>
        <w:rPr>
          <w:rFonts w:hint="eastAsia" w:ascii="仿宋" w:hAnsi="仿宋" w:eastAsia="仿宋"/>
          <w:sz w:val="32"/>
          <w:szCs w:val="32"/>
          <w:lang w:val="en-US" w:eastAsia="zh-CN"/>
        </w:rPr>
        <w:t xml:space="preserve">     </w:t>
      </w:r>
      <w:r>
        <w:rPr>
          <w:rFonts w:hint="eastAsia" w:ascii="仿宋" w:hAnsi="仿宋" w:eastAsia="仿宋" w:cs="仿宋"/>
          <w:kern w:val="0"/>
          <w:sz w:val="32"/>
          <w:szCs w:val="32"/>
        </w:rPr>
        <w:t>1.</w:t>
      </w:r>
      <w:r>
        <w:rPr>
          <w:rFonts w:hint="eastAsia" w:ascii="仿宋" w:hAnsi="仿宋" w:eastAsia="仿宋" w:cs="仿宋"/>
          <w:kern w:val="0"/>
          <w:sz w:val="32"/>
          <w:szCs w:val="32"/>
          <w:lang w:val="zh-CN"/>
        </w:rPr>
        <w:t>领导高度重视，加强组织保障。区</w:t>
      </w:r>
      <w:r>
        <w:rPr>
          <w:rFonts w:hint="eastAsia" w:ascii="仿宋" w:hAnsi="仿宋" w:eastAsia="仿宋" w:cs="仿宋"/>
          <w:kern w:val="0"/>
          <w:sz w:val="32"/>
          <w:szCs w:val="32"/>
          <w:lang w:val="en-US" w:eastAsia="zh-CN"/>
        </w:rPr>
        <w:t>工商联</w:t>
      </w:r>
      <w:r>
        <w:rPr>
          <w:rFonts w:hint="eastAsia" w:ascii="仿宋" w:hAnsi="仿宋" w:eastAsia="仿宋" w:cs="仿宋"/>
          <w:kern w:val="0"/>
          <w:sz w:val="32"/>
          <w:szCs w:val="32"/>
          <w:lang w:val="zh-CN"/>
        </w:rPr>
        <w:t>高度重视预算绩效管理工作，成立了预算绩效自评工作领导小组，预算绩效自评工作实行领导责任制，主要领导亲自安排部署预算绩效自评工作。领导机构和工作机制的建立为部门开展绩效自评提供了坚实组织保障。</w:t>
      </w:r>
    </w:p>
    <w:p w14:paraId="56B7FAF8">
      <w:pPr>
        <w:spacing w:line="560" w:lineRule="exact"/>
        <w:rPr>
          <w:rFonts w:hint="default" w:ascii="仿宋" w:hAnsi="仿宋" w:eastAsia="仿宋"/>
          <w:sz w:val="32"/>
          <w:szCs w:val="32"/>
          <w:lang w:val="en-US" w:eastAsia="zh-CN"/>
        </w:rPr>
      </w:pPr>
      <w:r>
        <w:rPr>
          <w:rFonts w:hint="eastAsia" w:ascii="仿宋" w:hAnsi="仿宋" w:eastAsia="仿宋" w:cs="仿宋"/>
          <w:kern w:val="0"/>
          <w:sz w:val="32"/>
          <w:szCs w:val="32"/>
        </w:rPr>
        <w:t xml:space="preserve">   </w:t>
      </w:r>
      <w:r>
        <w:rPr>
          <w:rFonts w:hint="eastAsia" w:ascii="仿宋" w:hAnsi="仿宋" w:eastAsia="仿宋" w:cs="仿宋"/>
          <w:kern w:val="0"/>
          <w:sz w:val="32"/>
          <w:szCs w:val="32"/>
          <w:lang w:val="en-US" w:eastAsia="zh-CN"/>
        </w:rPr>
        <w:t xml:space="preserve"> </w:t>
      </w:r>
      <w:r>
        <w:rPr>
          <w:rFonts w:hint="eastAsia" w:ascii="仿宋" w:hAnsi="仿宋" w:eastAsia="仿宋" w:cs="仿宋"/>
          <w:kern w:val="0"/>
          <w:sz w:val="32"/>
          <w:szCs w:val="32"/>
        </w:rPr>
        <w:t xml:space="preserve">2. </w:t>
      </w:r>
      <w:r>
        <w:rPr>
          <w:rFonts w:hint="eastAsia" w:ascii="仿宋" w:hAnsi="仿宋" w:eastAsia="仿宋" w:cs="仿宋"/>
          <w:kern w:val="0"/>
          <w:sz w:val="32"/>
          <w:szCs w:val="32"/>
          <w:lang w:val="zh-CN"/>
        </w:rPr>
        <w:t>明确职责分工，细化分解任务。组织召开专题会议，部署项目预算绩效自评工作，提出工作要求，压实工作责任，明确专人负责。组织学习了相关文件精神，严格评价标准，准确把握绩效评价的内容与方法，确保评价质量。同时，安排综合素质高、工作责任心强的人员开展预算项目绩效自评工作。</w:t>
      </w:r>
    </w:p>
    <w:p w14:paraId="75D29E9D">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3BC7202">
      <w:pPr>
        <w:keepNext w:val="0"/>
        <w:keepLines w:val="0"/>
        <w:pageBreakBefore w:val="0"/>
        <w:widowControl w:val="0"/>
        <w:kinsoku/>
        <w:wordWrap/>
        <w:overflowPunct/>
        <w:topLinePunct w:val="0"/>
        <w:autoSpaceDE w:val="0"/>
        <w:autoSpaceDN w:val="0"/>
        <w:bidi w:val="0"/>
        <w:adjustRightInd w:val="0"/>
        <w:snapToGrid/>
        <w:spacing w:line="240" w:lineRule="auto"/>
        <w:ind w:firstLine="640" w:firstLineChars="200"/>
        <w:textAlignment w:val="auto"/>
        <w:rPr>
          <w:rFonts w:ascii="楷体" w:hAnsi="楷体" w:eastAsia="楷体" w:cs="楷体_GB2312"/>
          <w:bCs/>
          <w:sz w:val="32"/>
          <w:szCs w:val="32"/>
        </w:rPr>
      </w:pPr>
      <w:r>
        <w:rPr>
          <w:rFonts w:hint="eastAsia" w:ascii="仿宋" w:hAnsi="仿宋" w:eastAsia="仿宋" w:cs="仿宋"/>
          <w:kern w:val="0"/>
          <w:sz w:val="32"/>
          <w:szCs w:val="32"/>
          <w:lang w:val="zh-CN"/>
        </w:rPr>
        <w:t>全面核查汇总，对标对表评价。区</w:t>
      </w:r>
      <w:r>
        <w:rPr>
          <w:rFonts w:hint="eastAsia" w:ascii="仿宋" w:hAnsi="仿宋" w:eastAsia="仿宋" w:cs="仿宋"/>
          <w:kern w:val="0"/>
          <w:sz w:val="32"/>
          <w:szCs w:val="32"/>
          <w:lang w:val="en-US" w:eastAsia="zh-CN"/>
        </w:rPr>
        <w:t>工商联</w:t>
      </w:r>
      <w:r>
        <w:rPr>
          <w:rFonts w:hint="eastAsia" w:ascii="仿宋" w:hAnsi="仿宋" w:eastAsia="仿宋" w:cs="仿宋"/>
          <w:kern w:val="0"/>
          <w:sz w:val="32"/>
          <w:szCs w:val="32"/>
          <w:lang w:val="zh-CN"/>
        </w:rPr>
        <w:t>对</w:t>
      </w:r>
      <w:r>
        <w:rPr>
          <w:rFonts w:hint="eastAsia" w:ascii="仿宋" w:hAnsi="仿宋" w:eastAsia="仿宋" w:cs="仿宋"/>
          <w:kern w:val="0"/>
          <w:sz w:val="32"/>
          <w:szCs w:val="32"/>
        </w:rPr>
        <w:t>202</w:t>
      </w:r>
      <w:r>
        <w:rPr>
          <w:rFonts w:hint="eastAsia" w:ascii="仿宋" w:hAnsi="仿宋" w:eastAsia="仿宋" w:cs="仿宋"/>
          <w:kern w:val="0"/>
          <w:sz w:val="32"/>
          <w:szCs w:val="32"/>
          <w:lang w:val="en-US" w:eastAsia="zh-CN"/>
        </w:rPr>
        <w:t>5</w:t>
      </w:r>
      <w:r>
        <w:rPr>
          <w:rFonts w:hint="eastAsia" w:ascii="仿宋" w:hAnsi="仿宋" w:eastAsia="仿宋" w:cs="仿宋"/>
          <w:kern w:val="0"/>
          <w:sz w:val="32"/>
          <w:szCs w:val="32"/>
          <w:lang w:val="zh-CN"/>
        </w:rPr>
        <w:t>年预算项目绩效自评实施全覆盖，经认真查阅</w:t>
      </w:r>
      <w:r>
        <w:rPr>
          <w:rFonts w:hint="eastAsia" w:ascii="仿宋" w:hAnsi="仿宋" w:eastAsia="仿宋" w:cs="仿宋"/>
          <w:kern w:val="0"/>
          <w:sz w:val="32"/>
          <w:szCs w:val="32"/>
        </w:rPr>
        <w:t>202</w:t>
      </w:r>
      <w:r>
        <w:rPr>
          <w:rFonts w:hint="eastAsia" w:ascii="仿宋" w:hAnsi="仿宋" w:eastAsia="仿宋" w:cs="仿宋"/>
          <w:kern w:val="0"/>
          <w:sz w:val="32"/>
          <w:szCs w:val="32"/>
          <w:lang w:val="en-US" w:eastAsia="zh-CN"/>
        </w:rPr>
        <w:t>5</w:t>
      </w:r>
      <w:r>
        <w:rPr>
          <w:rFonts w:hint="eastAsia" w:ascii="仿宋" w:hAnsi="仿宋" w:eastAsia="仿宋" w:cs="仿宋"/>
          <w:kern w:val="0"/>
          <w:sz w:val="32"/>
          <w:szCs w:val="32"/>
          <w:lang w:val="zh-CN"/>
        </w:rPr>
        <w:t>年度预算安排、预算追加、资金管理、经费支出等相关文件资料和财务凭证、账簿，对</w:t>
      </w:r>
      <w:r>
        <w:rPr>
          <w:rFonts w:hint="eastAsia" w:ascii="仿宋" w:hAnsi="仿宋" w:eastAsia="仿宋" w:cs="仿宋"/>
          <w:kern w:val="0"/>
          <w:sz w:val="32"/>
          <w:szCs w:val="32"/>
        </w:rPr>
        <w:t>202</w:t>
      </w:r>
      <w:r>
        <w:rPr>
          <w:rFonts w:hint="eastAsia" w:ascii="仿宋" w:hAnsi="仿宋" w:eastAsia="仿宋" w:cs="仿宋"/>
          <w:kern w:val="0"/>
          <w:sz w:val="32"/>
          <w:szCs w:val="32"/>
          <w:lang w:val="en-US" w:eastAsia="zh-CN"/>
        </w:rPr>
        <w:t>5</w:t>
      </w:r>
      <w:r>
        <w:rPr>
          <w:rFonts w:hint="eastAsia" w:ascii="仿宋" w:hAnsi="仿宋" w:eastAsia="仿宋" w:cs="仿宋"/>
          <w:kern w:val="0"/>
          <w:sz w:val="32"/>
          <w:szCs w:val="32"/>
          <w:lang w:val="zh-CN"/>
        </w:rPr>
        <w:t>年度财政预算项目支出数据的准确性、真实性进行了逐项核实。对照设定的预期绩效目标、绩效评价指标、评价标准和评价方法，根据项目单位提供的调查方案、报表制度、资料汇编、评估报告、文件通知、信息分析等相关佐证资料，对预算项目的经济性、时效性和效益性等方面进行客观公正的量化评价，经综合分析、归纳汇总形成项目自评报告。</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70067B57">
      <w:pPr>
        <w:spacing w:line="560" w:lineRule="exact"/>
        <w:ind w:firstLine="800" w:firstLineChars="250"/>
        <w:rPr>
          <w:rFonts w:hint="default" w:ascii="仿宋" w:hAnsi="仿宋" w:eastAsia="仿宋"/>
          <w:sz w:val="32"/>
          <w:szCs w:val="32"/>
          <w:lang w:val="en-US" w:eastAsia="zh-CN"/>
        </w:rPr>
      </w:pPr>
      <w:r>
        <w:rPr>
          <w:rFonts w:hint="eastAsia" w:ascii="仿宋" w:hAnsi="仿宋" w:eastAsia="仿宋"/>
          <w:sz w:val="32"/>
          <w:szCs w:val="32"/>
        </w:rPr>
        <w:t>绩效文本中总体绩效目标</w:t>
      </w:r>
      <w:r>
        <w:rPr>
          <w:rFonts w:hint="eastAsia" w:ascii="仿宋" w:hAnsi="仿宋" w:eastAsia="仿宋"/>
          <w:sz w:val="32"/>
          <w:szCs w:val="32"/>
          <w:lang w:val="en-US" w:eastAsia="zh-CN"/>
        </w:rPr>
        <w:t>为独生子女费一次性奖励、残疾人就业保障金、工商联执常委会会议费、非公经济人士教育培训调研视察费均按照既定目标完成，完成率100%。</w:t>
      </w:r>
    </w:p>
    <w:p w14:paraId="6B4C98D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E8A9EDF">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参照预算绩效文本中分项绩效目标、指标，从完成数量、质量、时效、成本效益等方面，对分项目标指标完成情况进行评价，指标要细化、量化，得分依据要充分。</w:t>
      </w:r>
    </w:p>
    <w:p w14:paraId="063C7517">
      <w:pPr>
        <w:spacing w:line="560" w:lineRule="exact"/>
        <w:ind w:firstLine="800" w:firstLineChars="250"/>
        <w:rPr>
          <w:rFonts w:hint="default" w:ascii="仿宋" w:hAnsi="仿宋" w:eastAsia="仿宋"/>
          <w:sz w:val="32"/>
          <w:szCs w:val="32"/>
          <w:lang w:val="en-US" w:eastAsia="zh-CN"/>
        </w:rPr>
      </w:pPr>
      <w:r>
        <w:rPr>
          <w:rFonts w:hint="eastAsia" w:ascii="仿宋" w:hAnsi="仿宋" w:eastAsia="仿宋"/>
          <w:sz w:val="32"/>
          <w:szCs w:val="32"/>
          <w:lang w:val="en-US" w:eastAsia="zh-CN"/>
        </w:rPr>
        <w:t>独生子女费一次性奖励为发放给退休人员霍万青同志，执行率为100%，按时发放到位；残疾人就业保障金完成数量、质量、时效、成本效益都是100%完成，按时转付；工商联执常委会会议费、非公经济人士教育培训调研视察费的</w:t>
      </w:r>
      <w:r>
        <w:rPr>
          <w:rFonts w:hint="eastAsia" w:ascii="仿宋" w:hAnsi="仿宋" w:eastAsia="仿宋"/>
          <w:sz w:val="32"/>
          <w:szCs w:val="32"/>
        </w:rPr>
        <w:t>数量、质量、时效、成本效益</w:t>
      </w:r>
      <w:r>
        <w:rPr>
          <w:rFonts w:hint="eastAsia" w:ascii="仿宋" w:hAnsi="仿宋" w:eastAsia="仿宋"/>
          <w:sz w:val="32"/>
          <w:szCs w:val="32"/>
          <w:lang w:val="en-US" w:eastAsia="zh-CN"/>
        </w:rPr>
        <w:t>指标均达到满分，按时完成并取得既定效果。</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D767232">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根据部门职责定位和各项工作履职情况进行综合评价，给出总得分100分，部门整体支出综合绩效评价为优秀。</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972F63C">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14:paraId="111A2E0B">
      <w:pPr>
        <w:spacing w:line="560" w:lineRule="exact"/>
        <w:ind w:firstLine="960" w:firstLineChars="300"/>
        <w:rPr>
          <w:rFonts w:hint="eastAsia" w:ascii="楷体" w:hAnsi="楷体" w:eastAsia="楷体"/>
          <w:bCs/>
          <w:sz w:val="32"/>
          <w:szCs w:val="32"/>
          <w:lang w:val="en-US" w:eastAsia="zh-CN"/>
        </w:rPr>
      </w:pPr>
      <w:r>
        <w:rPr>
          <w:rFonts w:hint="eastAsia" w:ascii="楷体" w:hAnsi="楷体" w:eastAsia="楷体"/>
          <w:bCs/>
          <w:sz w:val="32"/>
          <w:szCs w:val="32"/>
          <w:lang w:val="en-US" w:eastAsia="zh-CN"/>
        </w:rPr>
        <w:t>无</w:t>
      </w:r>
    </w:p>
    <w:p w14:paraId="65862311">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426DDF37">
      <w:pPr>
        <w:numPr>
          <w:numId w:val="0"/>
        </w:numPr>
        <w:spacing w:line="560" w:lineRule="exact"/>
        <w:ind w:leftChars="200" w:firstLine="640" w:firstLineChars="200"/>
        <w:rPr>
          <w:rFonts w:hint="default" w:ascii="楷体" w:hAnsi="楷体" w:eastAsia="楷体"/>
          <w:bCs/>
          <w:sz w:val="32"/>
          <w:szCs w:val="32"/>
          <w:lang w:val="en-US" w:eastAsia="zh-CN"/>
        </w:rPr>
      </w:pPr>
      <w:bookmarkStart w:id="2" w:name="_GoBack"/>
      <w:bookmarkEnd w:id="2"/>
      <w:r>
        <w:rPr>
          <w:rFonts w:hint="eastAsia" w:ascii="楷体" w:hAnsi="楷体" w:eastAsia="楷体"/>
          <w:bCs/>
          <w:sz w:val="32"/>
          <w:szCs w:val="32"/>
          <w:lang w:val="en-US" w:eastAsia="zh-CN"/>
        </w:rPr>
        <w:t>无</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华文楷体">
    <w:altName w:val="楷体_GB2312"/>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Arial">
    <w:panose1 w:val="020B0604020202020204"/>
    <w:charset w:val="00"/>
    <w:family w:val="swiss"/>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宋体-PUA">
    <w:panose1 w:val="02010600030101010101"/>
    <w:charset w:val="86"/>
    <w:family w:val="auto"/>
    <w:pitch w:val="default"/>
    <w:sig w:usb0="00000000" w:usb1="10000000" w:usb2="00000000" w:usb3="00000000" w:csb0="00040000" w:csb1="00000000"/>
  </w:font>
  <w:font w:name="宋体-方正超大字符集">
    <w:panose1 w:val="03000509000000000000"/>
    <w:charset w:val="86"/>
    <w:family w:val="auto"/>
    <w:pitch w:val="default"/>
    <w:sig w:usb0="00000001" w:usb1="080E0000" w:usb2="00000000" w:usb3="00000000" w:csb0="00040000" w:csb1="00000000"/>
  </w:font>
  <w:font w:name="新宋体">
    <w:panose1 w:val="02010609030101010101"/>
    <w:charset w:val="86"/>
    <w:family w:val="auto"/>
    <w:pitch w:val="default"/>
    <w:sig w:usb0="00000203" w:usb1="288F0000" w:usb2="00000006" w:usb3="00000000" w:csb0="00040001" w:csb1="00000000"/>
  </w:font>
  <w:font w:name="方正书宋_GBK">
    <w:panose1 w:val="03000509000000000000"/>
    <w:charset w:val="86"/>
    <w:family w:val="auto"/>
    <w:pitch w:val="default"/>
    <w:sig w:usb0="00000001" w:usb1="080E0000" w:usb2="00000000" w:usb3="00000000" w:csb0="00040000" w:csb1="00000000"/>
  </w:font>
  <w:font w:name="微软雅黑 Light">
    <w:panose1 w:val="020B0502040204020203"/>
    <w:charset w:val="86"/>
    <w:family w:val="auto"/>
    <w:pitch w:val="default"/>
    <w:sig w:usb0="80000287" w:usb1="2ACF001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2"/>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05646C16"/>
    <w:multiLevelType w:val="singleLevel"/>
    <w:tmpl w:val="05646C16"/>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53216A"/>
    <w:rsid w:val="006932BD"/>
    <w:rsid w:val="007416C6"/>
    <w:rsid w:val="007E6C1F"/>
    <w:rsid w:val="009000BE"/>
    <w:rsid w:val="00956A93"/>
    <w:rsid w:val="009E575C"/>
    <w:rsid w:val="00A024F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740D26"/>
    <w:rsid w:val="1BE140DE"/>
    <w:rsid w:val="1E542E40"/>
    <w:rsid w:val="248C197D"/>
    <w:rsid w:val="252959AF"/>
    <w:rsid w:val="277A6671"/>
    <w:rsid w:val="292D35B7"/>
    <w:rsid w:val="2D1B68AA"/>
    <w:rsid w:val="32855FEF"/>
    <w:rsid w:val="33EB6CFF"/>
    <w:rsid w:val="35A12947"/>
    <w:rsid w:val="37387040"/>
    <w:rsid w:val="3B625C0A"/>
    <w:rsid w:val="3CEE1963"/>
    <w:rsid w:val="41117BE6"/>
    <w:rsid w:val="436B78D3"/>
    <w:rsid w:val="4C924959"/>
    <w:rsid w:val="4C9C27FE"/>
    <w:rsid w:val="502A44B1"/>
    <w:rsid w:val="512260B4"/>
    <w:rsid w:val="52BD6ACB"/>
    <w:rsid w:val="53EE6598"/>
    <w:rsid w:val="55537534"/>
    <w:rsid w:val="561A74F1"/>
    <w:rsid w:val="58B17416"/>
    <w:rsid w:val="597244E8"/>
    <w:rsid w:val="59BB3873"/>
    <w:rsid w:val="5C122A79"/>
    <w:rsid w:val="5EB71C30"/>
    <w:rsid w:val="605D4C28"/>
    <w:rsid w:val="66AF0CE5"/>
    <w:rsid w:val="68AC2130"/>
    <w:rsid w:val="6AC537CF"/>
    <w:rsid w:val="6D2E51F1"/>
    <w:rsid w:val="6E5B14A6"/>
    <w:rsid w:val="711B255E"/>
    <w:rsid w:val="799C3B90"/>
    <w:rsid w:val="7BB51E06"/>
    <w:rsid w:val="7C387F7C"/>
    <w:rsid w:val="7E5D23CF"/>
    <w:rsid w:val="7F517E80"/>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5</Pages>
  <Words>95</Words>
  <Characters>547</Characters>
  <Lines>4</Lines>
  <Paragraphs>1</Paragraphs>
  <TotalTime>36</TotalTime>
  <ScaleCrop>false</ScaleCrop>
  <LinksUpToDate>false</LinksUpToDate>
  <CharactersWithSpaces>641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2026-03-03T01:23:00Z</cp:lastPrinted>
  <dcterms:modified xsi:type="dcterms:W3CDTF">2026-05-15T10:46:28Z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