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D52FCD"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附件4</w:t>
      </w:r>
    </w:p>
    <w:p w14:paraId="6DB41344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515B31A4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石家庄市新华区民族路步行街管理委员会</w:t>
      </w:r>
    </w:p>
    <w:p w14:paraId="2F63805D">
      <w:pPr>
        <w:spacing w:line="560" w:lineRule="exact"/>
        <w:jc w:val="center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2023年度整体支出绩效自评报告</w:t>
      </w:r>
    </w:p>
    <w:p w14:paraId="3F13AFC7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55EA9023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贯彻落实区委区政府</w:t>
      </w:r>
      <w:r>
        <w:rPr>
          <w:rFonts w:hint="eastAsia" w:ascii="仿宋_GB2312" w:eastAsia="仿宋_GB2312"/>
          <w:sz w:val="32"/>
          <w:szCs w:val="32"/>
        </w:rPr>
        <w:t>《关于全面落实预算绩效管理的实施意见》（新华发〔2019〕9号）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文件精神，遵循“科学性、规范性、客观性和公正性”的原则，对</w:t>
      </w:r>
      <w:r>
        <w:rPr>
          <w:rFonts w:hint="eastAsia" w:ascii="仿宋" w:hAnsi="仿宋" w:eastAsia="仿宋" w:cs="宋体"/>
          <w:bCs/>
          <w:sz w:val="32"/>
          <w:szCs w:val="32"/>
        </w:rPr>
        <w:t>新华区民族路步行街管理委员会</w:t>
      </w:r>
      <w:r>
        <w:rPr>
          <w:rFonts w:hint="eastAsia" w:ascii="仿宋" w:hAnsi="仿宋" w:eastAsia="仿宋"/>
          <w:sz w:val="32"/>
          <w:szCs w:val="32"/>
        </w:rPr>
        <w:t>部门2023年整体支出情况实施了财政支出绩效自评价，形成本评价报告。</w:t>
      </w:r>
    </w:p>
    <w:p w14:paraId="771366C9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45175C29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5EBAFD64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部门职责：</w:t>
      </w:r>
    </w:p>
    <w:p w14:paraId="0129E437">
      <w:pPr>
        <w:spacing w:line="580" w:lineRule="exact"/>
        <w:ind w:firstLine="601" w:firstLineChars="188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一、贯彻执行法律、法规、规章和上级政府的决定、命令，依法管理辖区公共事务；</w:t>
      </w:r>
    </w:p>
    <w:p w14:paraId="614714DE">
      <w:pPr>
        <w:spacing w:line="58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二、加强管委会党组自身建设和基层党组织建设，履行全面从严治党主体责任，建立健全党建联席会议制度，全面推进辖区内党的政治建设、思想建设、组织建设、作风建设、纪律建设。把制度建设贯穿其中，组织开展党风廉政建设和反腐工作；</w:t>
      </w:r>
    </w:p>
    <w:p w14:paraId="194D7DBA">
      <w:pPr>
        <w:spacing w:line="58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三、负责辖区总体规划、专项规划、详细规划的编制、审核、报批，辖区建设规划审核和报批，做好规划范围内各类建设项目的规划、审定、批准工作；</w:t>
      </w:r>
    </w:p>
    <w:p w14:paraId="41E9AC31">
      <w:pPr>
        <w:spacing w:line="58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四、负责组织、协调、督导民族路步行街提升改造相关工作，负责新华集贸市场建设管理相关工作，按照有关规定统筹使用下沉到管委会的人财物等资源；</w:t>
      </w:r>
    </w:p>
    <w:p w14:paraId="38D140EA">
      <w:pPr>
        <w:spacing w:line="58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五、负责辖区内的资本运作、市场运营、业态调整、宣传和精神文明建设等相关工作的指导和协调组织；</w:t>
      </w:r>
    </w:p>
    <w:p w14:paraId="61902308">
      <w:pPr>
        <w:spacing w:line="58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六、按照管理权限，对管委会机关及所属事业单位干部进行教育、培训、选拔、考核和监督；</w:t>
      </w:r>
    </w:p>
    <w:p w14:paraId="49458957">
      <w:pPr>
        <w:spacing w:line="58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七、负责监督所属企业国有资产的保值增值，加强国有资产的管理工作；推进国有企业的现代企业制度建设，完善公司法人治理结构。</w:t>
      </w:r>
    </w:p>
    <w:p w14:paraId="7ABF7D63">
      <w:pPr>
        <w:spacing w:line="58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八、承办上级党委、政府交办的其他事项。</w:t>
      </w:r>
    </w:p>
    <w:p w14:paraId="156F9394">
      <w:pPr>
        <w:ind w:firstLine="64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bCs/>
          <w:sz w:val="32"/>
          <w:szCs w:val="32"/>
        </w:rPr>
        <w:t>民族路服务中心主要职责：</w:t>
      </w:r>
      <w:r>
        <w:rPr>
          <w:rFonts w:hint="eastAsia" w:ascii="仿宋" w:hAnsi="仿宋" w:eastAsia="仿宋" w:cs="仿宋_GB2312"/>
          <w:sz w:val="32"/>
          <w:szCs w:val="32"/>
        </w:rPr>
        <w:t>负责民族路步行街升级改造及辖区内服务性保障工作；负责落实应急管理责任，制定突发事件应急预案，组织开展应急演练，协助上级有关部门依法履行安全生产监督管理职责；负责招商引资项目信息的搜集和项目跑办工作；负责各类统计报表的统计、汇总、分析和上报工作；负责循环经济、金融、流通、区域经济协作等工作。</w:t>
      </w:r>
    </w:p>
    <w:p w14:paraId="102BC7EA">
      <w:pPr>
        <w:spacing w:line="58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组织机构及人员情况：</w:t>
      </w:r>
    </w:p>
    <w:p w14:paraId="1B522822">
      <w:pPr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新华区民族路步行街管理委员会为一级预算单位，核定行政编制15名。</w:t>
      </w:r>
    </w:p>
    <w:p w14:paraId="2614C0B2">
      <w:pPr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所属1个事业单位，为新华区民族路步行街服务中心，公益一类，经费形式为财政性资金基本保证，规格为副科级。核定财政性资金保障事业编制14名。</w:t>
      </w:r>
    </w:p>
    <w:p w14:paraId="02663AFC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755CCA1A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 xml:space="preserve">  </w:t>
      </w:r>
      <w:r>
        <w:rPr>
          <w:rFonts w:hint="eastAsia" w:ascii="仿宋" w:hAnsi="仿宋" w:eastAsia="仿宋" w:cs="楷体_GB2312"/>
          <w:bCs/>
          <w:sz w:val="32"/>
          <w:szCs w:val="32"/>
        </w:rPr>
        <w:t>2023年度部门预算一般公共预算拨款</w:t>
      </w:r>
      <w:r>
        <w:rPr>
          <w:rFonts w:hint="eastAsia" w:ascii="仿宋" w:hAnsi="仿宋" w:eastAsia="仿宋" w:cs="楷体_GB2312"/>
          <w:bCs/>
          <w:sz w:val="32"/>
          <w:szCs w:val="32"/>
          <w:lang w:val="en-US" w:eastAsia="zh-CN"/>
        </w:rPr>
        <w:t>支出1845.01</w:t>
      </w:r>
      <w:r>
        <w:rPr>
          <w:rFonts w:hint="eastAsia" w:ascii="仿宋" w:hAnsi="仿宋" w:eastAsia="仿宋" w:cs="楷体_GB2312"/>
          <w:bCs/>
          <w:sz w:val="32"/>
          <w:szCs w:val="32"/>
        </w:rPr>
        <w:t>万元，其中：基本支出：人员经费</w:t>
      </w:r>
      <w:r>
        <w:rPr>
          <w:rFonts w:hint="eastAsia" w:ascii="仿宋" w:hAnsi="仿宋" w:eastAsia="仿宋" w:cs="楷体_GB2312"/>
          <w:bCs/>
          <w:sz w:val="32"/>
          <w:szCs w:val="32"/>
          <w:lang w:val="en-US" w:eastAsia="zh-CN"/>
        </w:rPr>
        <w:t>389.48</w:t>
      </w:r>
      <w:r>
        <w:rPr>
          <w:rFonts w:hint="eastAsia" w:ascii="仿宋" w:hAnsi="仿宋" w:eastAsia="仿宋" w:cs="楷体_GB2312"/>
          <w:bCs/>
          <w:sz w:val="32"/>
          <w:szCs w:val="32"/>
        </w:rPr>
        <w:t>万元、日常公用经费37.</w:t>
      </w:r>
      <w:r>
        <w:rPr>
          <w:rFonts w:hint="eastAsia" w:ascii="仿宋" w:hAnsi="仿宋" w:eastAsia="仿宋" w:cs="楷体_GB2312"/>
          <w:bCs/>
          <w:sz w:val="32"/>
          <w:szCs w:val="32"/>
          <w:lang w:val="en-US" w:eastAsia="zh-CN"/>
        </w:rPr>
        <w:t>65</w:t>
      </w:r>
      <w:r>
        <w:rPr>
          <w:rFonts w:hint="eastAsia" w:ascii="仿宋" w:hAnsi="仿宋" w:eastAsia="仿宋" w:cs="楷体_GB2312"/>
          <w:bCs/>
          <w:sz w:val="32"/>
          <w:szCs w:val="32"/>
        </w:rPr>
        <w:t>万元；项目</w:t>
      </w:r>
      <w:r>
        <w:rPr>
          <w:rFonts w:hint="eastAsia" w:ascii="仿宋" w:hAnsi="仿宋" w:eastAsia="仿宋" w:cs="楷体_GB2312"/>
          <w:bCs/>
          <w:sz w:val="32"/>
          <w:szCs w:val="32"/>
          <w:lang w:val="en-US" w:eastAsia="zh-CN"/>
        </w:rPr>
        <w:t>经费1417.88</w:t>
      </w:r>
      <w:r>
        <w:rPr>
          <w:rFonts w:hint="eastAsia" w:ascii="仿宋" w:hAnsi="仿宋" w:eastAsia="仿宋" w:cs="楷体_GB2312"/>
          <w:bCs/>
          <w:sz w:val="32"/>
          <w:szCs w:val="32"/>
        </w:rPr>
        <w:t>万元。</w:t>
      </w:r>
    </w:p>
    <w:p w14:paraId="3E71D029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楷体_GB2312"/>
          <w:bCs/>
          <w:sz w:val="32"/>
          <w:szCs w:val="32"/>
        </w:rPr>
      </w:pPr>
      <w:r>
        <w:rPr>
          <w:rFonts w:hint="eastAsia" w:ascii="仿宋" w:hAnsi="仿宋" w:eastAsia="仿宋" w:cs="楷体_GB2312"/>
          <w:bCs/>
          <w:sz w:val="32"/>
          <w:szCs w:val="32"/>
        </w:rPr>
        <w:t>2023年度部门决算，财政拨款</w:t>
      </w:r>
      <w:r>
        <w:rPr>
          <w:rFonts w:hint="eastAsia" w:ascii="仿宋" w:hAnsi="仿宋" w:eastAsia="仿宋" w:cs="楷体_GB2312"/>
          <w:bCs/>
          <w:sz w:val="32"/>
          <w:szCs w:val="32"/>
          <w:lang w:val="en-US" w:eastAsia="zh-CN"/>
        </w:rPr>
        <w:t>收入共计</w:t>
      </w:r>
      <w:r>
        <w:rPr>
          <w:rFonts w:hint="eastAsia" w:ascii="仿宋" w:hAnsi="仿宋" w:eastAsia="仿宋" w:cs="楷体_GB2312"/>
          <w:bCs/>
          <w:sz w:val="32"/>
          <w:szCs w:val="32"/>
        </w:rPr>
        <w:t>1672.670755万元，总支出6097.962897万元。其中：基本支出：人员经费支出421.073707万元、日常公用经费37.412412万元，项目支出5639.476778万元。</w:t>
      </w:r>
    </w:p>
    <w:p w14:paraId="09577C0D">
      <w:pPr>
        <w:spacing w:line="560" w:lineRule="exact"/>
        <w:ind w:firstLine="640" w:firstLineChars="200"/>
        <w:rPr>
          <w:rFonts w:ascii="仿宋" w:hAnsi="仿宋" w:eastAsia="仿宋" w:cs="楷体_GB2312"/>
          <w:sz w:val="32"/>
          <w:szCs w:val="32"/>
        </w:rPr>
      </w:pPr>
      <w:r>
        <w:rPr>
          <w:rFonts w:ascii="仿宋" w:hAnsi="仿宋" w:eastAsia="仿宋" w:cs="楷体_GB2312"/>
          <w:bCs/>
          <w:sz w:val="32"/>
          <w:szCs w:val="32"/>
        </w:rPr>
        <w:t>年初结转和结余</w:t>
      </w:r>
      <w:r>
        <w:rPr>
          <w:rFonts w:hint="eastAsia" w:ascii="仿宋" w:hAnsi="仿宋" w:eastAsia="仿宋" w:cs="楷体_GB2312"/>
          <w:bCs/>
          <w:sz w:val="32"/>
          <w:szCs w:val="32"/>
        </w:rPr>
        <w:t>4915.867374万元，其中：基本支出：人员经费0.</w:t>
      </w:r>
      <w:r>
        <w:rPr>
          <w:rFonts w:hint="eastAsia" w:ascii="仿宋" w:hAnsi="仿宋" w:eastAsia="仿宋" w:cs="楷体_GB2312"/>
          <w:bCs/>
          <w:sz w:val="32"/>
          <w:szCs w:val="32"/>
          <w:lang w:val="en-US" w:eastAsia="zh-CN"/>
        </w:rPr>
        <w:t>757694</w:t>
      </w:r>
      <w:r>
        <w:rPr>
          <w:rFonts w:hint="eastAsia" w:ascii="仿宋" w:hAnsi="仿宋" w:eastAsia="仿宋" w:cs="楷体_GB2312"/>
          <w:bCs/>
          <w:sz w:val="32"/>
          <w:szCs w:val="32"/>
        </w:rPr>
        <w:t>万元，日常公用经费0万元，项目结转和结余4915.</w:t>
      </w:r>
      <w:r>
        <w:rPr>
          <w:rFonts w:hint="eastAsia" w:ascii="仿宋" w:hAnsi="仿宋" w:eastAsia="仿宋" w:cs="楷体_GB2312"/>
          <w:bCs/>
          <w:sz w:val="32"/>
          <w:szCs w:val="32"/>
          <w:lang w:val="en-US" w:eastAsia="zh-CN"/>
        </w:rPr>
        <w:t>10968</w:t>
      </w:r>
      <w:r>
        <w:rPr>
          <w:rFonts w:hint="eastAsia" w:ascii="仿宋" w:hAnsi="仿宋" w:eastAsia="仿宋" w:cs="楷体_GB2312"/>
          <w:bCs/>
          <w:sz w:val="32"/>
          <w:szCs w:val="32"/>
        </w:rPr>
        <w:t>万元</w:t>
      </w:r>
      <w:r>
        <w:rPr>
          <w:rFonts w:hint="eastAsia" w:ascii="仿宋" w:hAnsi="仿宋" w:eastAsia="仿宋" w:cs="楷体_GB2312"/>
          <w:bCs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楷体_GB2312"/>
          <w:bCs/>
          <w:sz w:val="32"/>
          <w:szCs w:val="32"/>
          <w:lang w:val="en-US" w:eastAsia="zh-CN"/>
        </w:rPr>
        <w:t>2023年度收回以前年度支出人员经费0.757096万元，归集上缴和缴回资金人员费用1.222648万元，调整后年初结转和结余4915.401822万元，其中：基本支出：人员经费0.292142万元，日常公用经费0万元，项目结转和结余4915.10968万元；</w:t>
      </w:r>
      <w:r>
        <w:rPr>
          <w:rFonts w:hint="eastAsia" w:ascii="仿宋" w:hAnsi="仿宋" w:eastAsia="仿宋" w:cs="楷体_GB2312"/>
          <w:bCs/>
          <w:sz w:val="32"/>
          <w:szCs w:val="32"/>
        </w:rPr>
        <w:t>本年财政拨款</w:t>
      </w:r>
      <w:r>
        <w:rPr>
          <w:rFonts w:hint="eastAsia" w:ascii="仿宋" w:hAnsi="仿宋" w:eastAsia="仿宋" w:cs="楷体_GB2312"/>
          <w:bCs/>
          <w:sz w:val="32"/>
          <w:szCs w:val="32"/>
          <w:lang w:val="en-US" w:eastAsia="zh-CN"/>
        </w:rPr>
        <w:t>收入</w:t>
      </w:r>
      <w:r>
        <w:rPr>
          <w:rFonts w:hint="eastAsia" w:ascii="仿宋" w:hAnsi="仿宋" w:eastAsia="仿宋" w:cs="楷体_GB2312"/>
          <w:bCs/>
          <w:sz w:val="32"/>
          <w:szCs w:val="32"/>
        </w:rPr>
        <w:t>1672.670755万元，其中</w:t>
      </w:r>
      <w:r>
        <w:rPr>
          <w:rFonts w:hint="eastAsia" w:ascii="仿宋" w:hAnsi="仿宋" w:eastAsia="仿宋" w:cs="楷体_GB2312"/>
          <w:bCs/>
          <w:sz w:val="32"/>
          <w:szCs w:val="32"/>
          <w:lang w:val="en-US" w:eastAsia="zh-CN"/>
        </w:rPr>
        <w:t>一般公共预算财政拨款收入1297.670755万元，政府性基金预算财政拨款收入375万元</w:t>
      </w:r>
      <w:r>
        <w:rPr>
          <w:rFonts w:hint="eastAsia" w:ascii="仿宋" w:hAnsi="仿宋" w:eastAsia="仿宋" w:cs="楷体_GB2312"/>
          <w:bCs/>
          <w:sz w:val="32"/>
          <w:szCs w:val="32"/>
        </w:rPr>
        <w:t>；本年支出6097.962897万元，其中：基本支出：人员经费支出421.073707万元、日常公用经费37.412412万元，项目支出5639.476778万元；2023年年末结转和结余</w:t>
      </w:r>
      <w:r>
        <w:rPr>
          <w:rFonts w:hint="eastAsia" w:ascii="仿宋" w:hAnsi="仿宋" w:eastAsia="仿宋" w:cs="楷体_GB2312"/>
          <w:bCs/>
          <w:sz w:val="32"/>
          <w:szCs w:val="32"/>
          <w:lang w:val="en-US" w:eastAsia="zh-CN"/>
        </w:rPr>
        <w:t>490.10968</w:t>
      </w:r>
      <w:r>
        <w:rPr>
          <w:rFonts w:hint="eastAsia" w:ascii="仿宋" w:hAnsi="仿宋" w:eastAsia="仿宋" w:cs="楷体_GB2312"/>
          <w:bCs/>
          <w:sz w:val="32"/>
          <w:szCs w:val="32"/>
        </w:rPr>
        <w:t>万元，其中人员经费</w:t>
      </w:r>
      <w:r>
        <w:rPr>
          <w:rFonts w:hint="eastAsia" w:ascii="仿宋" w:hAnsi="仿宋" w:eastAsia="仿宋" w:cs="楷体_GB2312"/>
          <w:bCs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楷体_GB2312"/>
          <w:bCs/>
          <w:sz w:val="32"/>
          <w:szCs w:val="32"/>
        </w:rPr>
        <w:t>万元，项目经费</w:t>
      </w:r>
      <w:r>
        <w:rPr>
          <w:rFonts w:hint="eastAsia" w:ascii="仿宋" w:hAnsi="仿宋" w:eastAsia="仿宋" w:cs="楷体_GB2312"/>
          <w:bCs/>
          <w:sz w:val="32"/>
          <w:szCs w:val="32"/>
          <w:lang w:val="en-US" w:eastAsia="zh-CN"/>
        </w:rPr>
        <w:t>490.10968</w:t>
      </w:r>
      <w:r>
        <w:rPr>
          <w:rFonts w:hint="eastAsia" w:ascii="仿宋" w:hAnsi="仿宋" w:eastAsia="仿宋" w:cs="楷体_GB2312"/>
          <w:bCs/>
          <w:sz w:val="32"/>
          <w:szCs w:val="32"/>
        </w:rPr>
        <w:t>万元。</w:t>
      </w:r>
    </w:p>
    <w:p w14:paraId="7A8140A3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65BC1296">
      <w:pPr>
        <w:spacing w:line="600" w:lineRule="exact"/>
        <w:ind w:left="567" w:leftChars="270"/>
        <w:rPr>
          <w:rFonts w:ascii="仿宋" w:hAnsi="仿宋" w:eastAsia="仿宋" w:cs="仿宋"/>
          <w:bCs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/>
          <w:sz w:val="32"/>
          <w:szCs w:val="32"/>
        </w:rPr>
        <w:t>湾里庙步行街建设收尾、街区招商及运营活动不断丰富，并</w:t>
      </w:r>
    </w:p>
    <w:p w14:paraId="4EC354EF">
      <w:pPr>
        <w:spacing w:line="600" w:lineRule="exact"/>
        <w:rPr>
          <w:rFonts w:ascii="仿宋" w:hAnsi="仿宋" w:eastAsia="仿宋" w:cs="仿宋"/>
          <w:bCs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/>
          <w:sz w:val="32"/>
          <w:szCs w:val="32"/>
        </w:rPr>
        <w:t>顺利通过商务部验收；围绕增加经济总量，重点开展新业态招商工作，重点对接国内知名、跨境流通及新生现代产业，通过有效招商促进业态转型，带动固定资产投资，增加社会消费品零售和税收；配套国家级步行街完善市场环境秩序综合管理办法，加强市场监管、市容等市场秩序管理；国有企业保值增值，制定企业效益、消防、稳定、升级等任务目标考评办法；加强街区基层党组织的建设。</w:t>
      </w:r>
    </w:p>
    <w:p w14:paraId="299DE61E">
      <w:pPr>
        <w:adjustRightInd w:val="0"/>
        <w:snapToGrid w:val="0"/>
        <w:spacing w:line="560" w:lineRule="exact"/>
        <w:ind w:firstLine="960" w:firstLineChars="3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5AA3AC14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42E53763">
      <w:pPr>
        <w:spacing w:line="560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组织相关人员进行项目绩效评价。</w:t>
      </w:r>
    </w:p>
    <w:p w14:paraId="2E0523B7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7DA1891A">
      <w:pPr>
        <w:spacing w:line="560" w:lineRule="exact"/>
        <w:ind w:firstLine="960" w:firstLineChars="3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ascii="仿宋" w:hAnsi="仿宋" w:eastAsia="仿宋" w:cs="楷体_GB2312"/>
          <w:bCs/>
          <w:sz w:val="32"/>
          <w:szCs w:val="32"/>
        </w:rPr>
        <w:t>收集资料集中评审。</w:t>
      </w:r>
    </w:p>
    <w:p w14:paraId="77592EDC">
      <w:pPr>
        <w:numPr>
          <w:ilvl w:val="0"/>
          <w:numId w:val="3"/>
        </w:num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部门整体支出绩效目标实现情况及指标分析</w:t>
      </w:r>
    </w:p>
    <w:p w14:paraId="6F94E36F">
      <w:pPr>
        <w:spacing w:line="560" w:lineRule="exact"/>
        <w:ind w:firstLine="1280" w:firstLineChars="4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（一）总体绩效目标实现情况</w:t>
      </w:r>
    </w:p>
    <w:p w14:paraId="2D599D11">
      <w:pPr>
        <w:spacing w:line="560" w:lineRule="exact"/>
        <w:ind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2023年，在区委区政府的正确领导下，管委会全体上</w:t>
      </w:r>
    </w:p>
    <w:p w14:paraId="0DE56F58">
      <w:p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下团结一致、抢抓机遇、担当作为、奋勇争先，在统筹做好步行街硬件建设、业态提升、活动组织、街区管理等各项工作基础上，全力推进湾里庙步行街全国示范步行街创建工作，街区先后荣获“河北省优化营商环境推动高质量发展先进集体”“河北省示范商业街”“河北省级旅游休闲街区”等荣誉称号。</w:t>
      </w:r>
    </w:p>
    <w:p w14:paraId="7E16290D">
      <w:p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</w:t>
      </w:r>
    </w:p>
    <w:p w14:paraId="1A2ED05E">
      <w:pPr>
        <w:spacing w:line="600" w:lineRule="exact"/>
        <w:ind w:firstLine="960" w:firstLineChars="3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楷体_GB2312"/>
          <w:bCs/>
          <w:sz w:val="32"/>
          <w:szCs w:val="32"/>
        </w:rPr>
        <w:t>1、</w:t>
      </w:r>
      <w:r>
        <w:rPr>
          <w:rFonts w:hint="eastAsia" w:ascii="仿宋" w:hAnsi="仿宋" w:eastAsia="仿宋"/>
          <w:sz w:val="32"/>
          <w:szCs w:val="32"/>
        </w:rPr>
        <w:t>加快推进国家级步行街创建工作：湾里庙步行街于</w:t>
      </w:r>
    </w:p>
    <w:p w14:paraId="65C1785C">
      <w:pPr>
        <w:spacing w:line="600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2023年11月21日被商务部确认为第三批“全国示范步行街”。</w:t>
      </w:r>
    </w:p>
    <w:p w14:paraId="651F7715">
      <w:pPr>
        <w:pStyle w:val="7"/>
        <w:spacing w:line="560" w:lineRule="exact"/>
        <w:ind w:firstLine="960" w:firstLineChars="300"/>
        <w:rPr>
          <w:rFonts w:ascii="黑体" w:hAnsi="黑体" w:eastAsia="黑体" w:cs="黑体"/>
          <w:bCs/>
          <w:kern w:val="2"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统筹推进公共设施建设，街区品质功能大幅提升</w:t>
      </w:r>
    </w:p>
    <w:p w14:paraId="1ADF435C">
      <w:pPr>
        <w:pStyle w:val="7"/>
        <w:spacing w:line="560" w:lineRule="exact"/>
        <w:ind w:firstLine="964" w:firstLineChars="300"/>
        <w:rPr>
          <w:rFonts w:ascii="仿宋" w:hAnsi="仿宋" w:eastAsia="仿宋" w:cs="黑体"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2、</w:t>
      </w:r>
      <w:r>
        <w:rPr>
          <w:rFonts w:hint="eastAsia" w:ascii="仿宋" w:hAnsi="仿宋" w:eastAsia="仿宋" w:cs="黑体"/>
          <w:bCs/>
          <w:sz w:val="32"/>
          <w:szCs w:val="32"/>
        </w:rPr>
        <w:t>全力抓好经济指标工作</w:t>
      </w:r>
    </w:p>
    <w:p w14:paraId="3C2D6017">
      <w:pPr>
        <w:pStyle w:val="7"/>
        <w:spacing w:line="560" w:lineRule="exact"/>
        <w:ind w:firstLine="640" w:firstLineChars="200"/>
        <w:rPr>
          <w:rFonts w:ascii="仿宋" w:hAnsi="仿宋" w:eastAsia="仿宋" w:cs="黑体"/>
          <w:sz w:val="32"/>
          <w:szCs w:val="32"/>
        </w:rPr>
      </w:pPr>
      <w:r>
        <w:rPr>
          <w:rFonts w:hint="eastAsia" w:ascii="仿宋" w:hAnsi="仿宋" w:eastAsia="仿宋" w:cs="黑体"/>
          <w:sz w:val="32"/>
          <w:szCs w:val="32"/>
        </w:rPr>
        <w:t>稳中求进、持续向好，经济发展内动力不断聚集</w:t>
      </w:r>
    </w:p>
    <w:p w14:paraId="3C4F5B60">
      <w:pPr>
        <w:spacing w:line="560" w:lineRule="exact"/>
        <w:ind w:firstLine="640" w:firstLineChars="200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bCs/>
          <w:sz w:val="32"/>
          <w:szCs w:val="32"/>
        </w:rPr>
        <w:t>（1）经济指标圆满完成。</w:t>
      </w:r>
    </w:p>
    <w:p w14:paraId="0E0004C8">
      <w:pPr>
        <w:spacing w:line="560" w:lineRule="exact"/>
        <w:ind w:firstLine="640" w:firstLineChars="200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（2）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加大招商引资力度，街区业态升级成果显著</w:t>
      </w:r>
    </w:p>
    <w:p w14:paraId="5F808220">
      <w:pPr>
        <w:adjustRightInd w:val="0"/>
        <w:snapToGrid w:val="0"/>
        <w:spacing w:line="560" w:lineRule="exact"/>
        <w:ind w:firstLine="960" w:firstLineChars="300"/>
        <w:rPr>
          <w:rFonts w:ascii="仿宋" w:hAnsi="仿宋" w:eastAsia="仿宋"/>
          <w:bCs/>
          <w:sz w:val="32"/>
          <w:szCs w:val="32"/>
        </w:rPr>
      </w:pPr>
      <w:r>
        <w:rPr>
          <w:rFonts w:hint="eastAsia" w:ascii="仿宋" w:hAnsi="仿宋" w:eastAsia="仿宋"/>
          <w:bCs/>
          <w:sz w:val="32"/>
          <w:szCs w:val="32"/>
        </w:rPr>
        <w:t>3、集中整治、严厉打击，市场环境秩序井然有序</w:t>
      </w:r>
    </w:p>
    <w:p w14:paraId="0F419D66">
      <w:pPr>
        <w:spacing w:line="560" w:lineRule="exact"/>
        <w:ind w:firstLine="640" w:firstLineChars="200"/>
        <w:rPr>
          <w:rFonts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治安稳定、营商环境、消防安全、城市管理是体现市场环境秩序管理水平的重要方面，是保障街区各项工作正常运转的四个基本面。随着湾里庙步行街国家级示范步行街试点的建设，街区管理有了更高的标准和要求。</w:t>
      </w:r>
    </w:p>
    <w:p w14:paraId="12333129">
      <w:pPr>
        <w:pStyle w:val="7"/>
        <w:spacing w:line="560" w:lineRule="exact"/>
        <w:ind w:firstLine="960" w:firstLineChars="300"/>
        <w:rPr>
          <w:rFonts w:ascii="仿宋" w:hAnsi="仿宋" w:eastAsia="仿宋" w:cs="黑体"/>
          <w:bCs/>
          <w:sz w:val="32"/>
          <w:szCs w:val="32"/>
        </w:rPr>
      </w:pPr>
      <w:r>
        <w:rPr>
          <w:rFonts w:hint="eastAsia" w:ascii="仿宋" w:hAnsi="仿宋" w:eastAsia="仿宋" w:cs="黑体"/>
          <w:bCs/>
          <w:sz w:val="32"/>
          <w:szCs w:val="32"/>
        </w:rPr>
        <w:t>4、明确目标、规范管理，国有企业实现保值增值</w:t>
      </w:r>
    </w:p>
    <w:p w14:paraId="164E8E07">
      <w:pPr>
        <w:pStyle w:val="7"/>
        <w:spacing w:line="560" w:lineRule="exact"/>
        <w:ind w:firstLine="640" w:firstLineChars="200"/>
        <w:rPr>
          <w:rFonts w:ascii="仿宋" w:hAnsi="仿宋" w:eastAsia="仿宋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  </w:t>
      </w:r>
      <w:r>
        <w:rPr>
          <w:rFonts w:hint="eastAsia" w:ascii="仿宋" w:hAnsi="仿宋" w:eastAsia="仿宋" w:cs="黑体"/>
          <w:sz w:val="32"/>
          <w:szCs w:val="32"/>
        </w:rPr>
        <w:t>5、</w:t>
      </w:r>
      <w:r>
        <w:rPr>
          <w:rFonts w:hint="eastAsia" w:ascii="仿宋" w:hAnsi="仿宋" w:eastAsia="仿宋" w:cs="黑体"/>
          <w:bCs/>
          <w:sz w:val="32"/>
          <w:szCs w:val="32"/>
        </w:rPr>
        <w:t>党建引领、基层治理，战斗堡垒作用充分发挥</w:t>
      </w:r>
    </w:p>
    <w:p w14:paraId="124CF5A0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绩效目标完成情况得分45分、完成数量9分、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质量10分、时效得分9分、成本效益得分9分，对分项目标指标完成情况进行评价，指标要细化、量化，得分依据要充分。</w:t>
      </w:r>
    </w:p>
    <w:p w14:paraId="59C7CD49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109FCAD8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根据部门职责定位和各项工作履职情况进行综合评价，给出总得82分，得出综合绩效评价等级良好。部门整体支出综合绩效评价分为4个等级：得分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p w14:paraId="0EBBEC0E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02465F89"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3528F281">
      <w:pPr>
        <w:spacing w:line="560" w:lineRule="exact"/>
        <w:ind w:firstLine="960" w:firstLineChars="300"/>
        <w:rPr>
          <w:rFonts w:ascii="仿宋" w:hAnsi="仿宋" w:eastAsia="仿宋"/>
          <w:bCs/>
          <w:sz w:val="32"/>
          <w:szCs w:val="32"/>
        </w:rPr>
      </w:pPr>
      <w:r>
        <w:rPr>
          <w:rFonts w:hint="eastAsia" w:ascii="仿宋" w:hAnsi="仿宋" w:eastAsia="仿宋"/>
          <w:bCs/>
          <w:sz w:val="32"/>
          <w:szCs w:val="32"/>
        </w:rPr>
        <w:t>按照财政资金管理制度，个别项目资金支付进度缓慢。</w:t>
      </w:r>
      <w:r>
        <w:rPr>
          <w:rFonts w:hint="eastAsia" w:ascii="仿宋" w:hAnsi="仿宋" w:eastAsia="仿宋" w:cs="仿宋"/>
          <w:sz w:val="32"/>
          <w:szCs w:val="32"/>
        </w:rPr>
        <w:t>绩   效指标设置不科学，造成实际完成值不易量化。</w:t>
      </w:r>
    </w:p>
    <w:p w14:paraId="55EB23F7"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（二）针对问题提出具体的改进措施或建议</w:t>
      </w:r>
    </w:p>
    <w:p w14:paraId="00541175">
      <w:pPr>
        <w:spacing w:line="560" w:lineRule="exact"/>
        <w:ind w:left="420" w:left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 xml:space="preserve">  </w:t>
      </w:r>
      <w:r>
        <w:rPr>
          <w:rFonts w:hint="eastAsia" w:ascii="仿宋" w:hAnsi="仿宋" w:eastAsia="仿宋"/>
          <w:bCs/>
          <w:sz w:val="32"/>
          <w:szCs w:val="32"/>
        </w:rPr>
        <w:t xml:space="preserve"> 按照财政资金管理制度，加快项目资金支付进度。</w:t>
      </w:r>
      <w:r>
        <w:rPr>
          <w:rFonts w:hint="eastAsia" w:ascii="仿宋" w:hAnsi="仿宋" w:eastAsia="仿宋" w:cs="仿宋"/>
          <w:sz w:val="32"/>
          <w:szCs w:val="32"/>
        </w:rPr>
        <w:t>需重新</w:t>
      </w:r>
    </w:p>
    <w:p w14:paraId="36DE3765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结合实际工作和项目特点修改项目绩效指标及指标值；</w:t>
      </w:r>
    </w:p>
    <w:p w14:paraId="2C62902D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 w14:paraId="06ACC792">
      <w:pPr>
        <w:adjustRightInd w:val="0"/>
        <w:snapToGrid w:val="0"/>
        <w:spacing w:line="560" w:lineRule="exact"/>
        <w:ind w:right="-2" w:firstLine="63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</w:rPr>
        <w:t>组  长：王  磊  民族路步行街管理委员会主任</w:t>
      </w:r>
    </w:p>
    <w:p w14:paraId="73AA8AA5">
      <w:pPr>
        <w:adjustRightInd w:val="0"/>
        <w:snapToGrid w:val="0"/>
        <w:spacing w:line="560" w:lineRule="exact"/>
        <w:ind w:right="-2"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副组长：康民生  民族路步行街管理委员会副主任</w:t>
      </w:r>
    </w:p>
    <w:p w14:paraId="18674A1D">
      <w:pPr>
        <w:adjustRightInd w:val="0"/>
        <w:snapToGrid w:val="0"/>
        <w:spacing w:line="560" w:lineRule="exact"/>
        <w:ind w:right="-2" w:firstLine="2240" w:firstLineChars="7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刘  哲  民族路步行街管理委员会副主任</w:t>
      </w:r>
    </w:p>
    <w:p w14:paraId="17757CFC">
      <w:pPr>
        <w:adjustRightInd w:val="0"/>
        <w:snapToGrid w:val="0"/>
        <w:spacing w:line="560" w:lineRule="exact"/>
        <w:ind w:right="-2" w:firstLine="960" w:firstLineChars="3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组  员：贾  芳、王东霞、张  颖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271BB0">
    <w:pPr>
      <w:pStyle w:val="2"/>
    </w:pPr>
    <w:r>
      <w:pict>
        <v:shape id="Quad Arrow 3073" o:spid="_x0000_s3073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01120A4D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- 4 -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12D5AB4"/>
    <w:multiLevelType w:val="multilevel"/>
    <w:tmpl w:val="012D5AB4"/>
    <w:lvl w:ilvl="0" w:tentative="0">
      <w:start w:val="3"/>
      <w:numFmt w:val="japaneseCounting"/>
      <w:lvlText w:val="%1、"/>
      <w:lvlJc w:val="left"/>
      <w:pPr>
        <w:ind w:left="1360" w:hanging="720"/>
      </w:pPr>
      <w:rPr>
        <w:rFonts w:hint="default"/>
        <w:b w:val="0"/>
      </w:rPr>
    </w:lvl>
    <w:lvl w:ilvl="1" w:tentative="0">
      <w:start w:val="1"/>
      <w:numFmt w:val="lowerLetter"/>
      <w:lvlText w:val="%2)"/>
      <w:lvlJc w:val="left"/>
      <w:pPr>
        <w:ind w:left="1480" w:hanging="420"/>
      </w:pPr>
    </w:lvl>
    <w:lvl w:ilvl="2" w:tentative="0">
      <w:start w:val="1"/>
      <w:numFmt w:val="lowerRoman"/>
      <w:lvlText w:val="%3."/>
      <w:lvlJc w:val="right"/>
      <w:pPr>
        <w:ind w:left="1900" w:hanging="420"/>
      </w:pPr>
    </w:lvl>
    <w:lvl w:ilvl="3" w:tentative="0">
      <w:start w:val="1"/>
      <w:numFmt w:val="decimal"/>
      <w:lvlText w:val="%4."/>
      <w:lvlJc w:val="left"/>
      <w:pPr>
        <w:ind w:left="2320" w:hanging="420"/>
      </w:pPr>
    </w:lvl>
    <w:lvl w:ilvl="4" w:tentative="0">
      <w:start w:val="1"/>
      <w:numFmt w:val="lowerLetter"/>
      <w:lvlText w:val="%5)"/>
      <w:lvlJc w:val="left"/>
      <w:pPr>
        <w:ind w:left="2740" w:hanging="420"/>
      </w:pPr>
    </w:lvl>
    <w:lvl w:ilvl="5" w:tentative="0">
      <w:start w:val="1"/>
      <w:numFmt w:val="lowerRoman"/>
      <w:lvlText w:val="%6."/>
      <w:lvlJc w:val="right"/>
      <w:pPr>
        <w:ind w:left="3160" w:hanging="420"/>
      </w:pPr>
    </w:lvl>
    <w:lvl w:ilvl="6" w:tentative="0">
      <w:start w:val="1"/>
      <w:numFmt w:val="decimal"/>
      <w:lvlText w:val="%7."/>
      <w:lvlJc w:val="left"/>
      <w:pPr>
        <w:ind w:left="3580" w:hanging="420"/>
      </w:pPr>
    </w:lvl>
    <w:lvl w:ilvl="7" w:tentative="0">
      <w:start w:val="1"/>
      <w:numFmt w:val="lowerLetter"/>
      <w:lvlText w:val="%8)"/>
      <w:lvlJc w:val="left"/>
      <w:pPr>
        <w:ind w:left="4000" w:hanging="420"/>
      </w:pPr>
    </w:lvl>
    <w:lvl w:ilvl="8" w:tentative="0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033DE13E"/>
    <w:multiLevelType w:val="singleLevel"/>
    <w:tmpl w:val="033DE13E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6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MTE3MDBhYjU4ODI4N2YwZDc1MWI4ZTZiM2MyMmUxNTAifQ=="/>
  </w:docVars>
  <w:rsids>
    <w:rsidRoot w:val="0EBD2122"/>
    <w:rsid w:val="000B0260"/>
    <w:rsid w:val="000C3213"/>
    <w:rsid w:val="000D66DE"/>
    <w:rsid w:val="00102025"/>
    <w:rsid w:val="00102AD9"/>
    <w:rsid w:val="00161E58"/>
    <w:rsid w:val="0024106D"/>
    <w:rsid w:val="00325E9D"/>
    <w:rsid w:val="003A229E"/>
    <w:rsid w:val="004372F1"/>
    <w:rsid w:val="00481D9C"/>
    <w:rsid w:val="004F7E84"/>
    <w:rsid w:val="00563058"/>
    <w:rsid w:val="00565F47"/>
    <w:rsid w:val="00642B93"/>
    <w:rsid w:val="00656EF5"/>
    <w:rsid w:val="0075217E"/>
    <w:rsid w:val="007E6C1F"/>
    <w:rsid w:val="00804A0B"/>
    <w:rsid w:val="008F2105"/>
    <w:rsid w:val="00956A93"/>
    <w:rsid w:val="00975F27"/>
    <w:rsid w:val="009E575C"/>
    <w:rsid w:val="00A977E2"/>
    <w:rsid w:val="00AF167E"/>
    <w:rsid w:val="00AF295F"/>
    <w:rsid w:val="00AF566A"/>
    <w:rsid w:val="00B45F8D"/>
    <w:rsid w:val="00B478EA"/>
    <w:rsid w:val="00B6553A"/>
    <w:rsid w:val="00BC6576"/>
    <w:rsid w:val="00C27C57"/>
    <w:rsid w:val="00CB75DD"/>
    <w:rsid w:val="00CD3260"/>
    <w:rsid w:val="00CE06BA"/>
    <w:rsid w:val="00CF7DDD"/>
    <w:rsid w:val="00D40300"/>
    <w:rsid w:val="00D859B6"/>
    <w:rsid w:val="00DB6B0C"/>
    <w:rsid w:val="00DC5357"/>
    <w:rsid w:val="00DF3B88"/>
    <w:rsid w:val="00EA4E6D"/>
    <w:rsid w:val="00F441CC"/>
    <w:rsid w:val="00F458D5"/>
    <w:rsid w:val="00FF4FCB"/>
    <w:rsid w:val="01B104CA"/>
    <w:rsid w:val="02106AB0"/>
    <w:rsid w:val="02B43A28"/>
    <w:rsid w:val="046F331E"/>
    <w:rsid w:val="07956271"/>
    <w:rsid w:val="084F33CB"/>
    <w:rsid w:val="08693975"/>
    <w:rsid w:val="09721397"/>
    <w:rsid w:val="0BB63BED"/>
    <w:rsid w:val="0CC31C91"/>
    <w:rsid w:val="0DB937C0"/>
    <w:rsid w:val="0EB97A43"/>
    <w:rsid w:val="0EBD2122"/>
    <w:rsid w:val="0F214EAE"/>
    <w:rsid w:val="0F451D95"/>
    <w:rsid w:val="11B71E6A"/>
    <w:rsid w:val="13FC08A7"/>
    <w:rsid w:val="14305E5E"/>
    <w:rsid w:val="1518061A"/>
    <w:rsid w:val="167D1103"/>
    <w:rsid w:val="188B3FAB"/>
    <w:rsid w:val="1AAF0063"/>
    <w:rsid w:val="1BE140DE"/>
    <w:rsid w:val="1CBA6C0A"/>
    <w:rsid w:val="1E71779F"/>
    <w:rsid w:val="231A0405"/>
    <w:rsid w:val="248C197D"/>
    <w:rsid w:val="252959AF"/>
    <w:rsid w:val="277A6671"/>
    <w:rsid w:val="292D35B7"/>
    <w:rsid w:val="2B5C5333"/>
    <w:rsid w:val="33065602"/>
    <w:rsid w:val="336F26A8"/>
    <w:rsid w:val="33BE302F"/>
    <w:rsid w:val="33EB6CFF"/>
    <w:rsid w:val="35A12947"/>
    <w:rsid w:val="37387040"/>
    <w:rsid w:val="37740CB8"/>
    <w:rsid w:val="38C9018C"/>
    <w:rsid w:val="3A9C399E"/>
    <w:rsid w:val="3B625C0A"/>
    <w:rsid w:val="3CD411CD"/>
    <w:rsid w:val="3CEE1963"/>
    <w:rsid w:val="404A1161"/>
    <w:rsid w:val="43466270"/>
    <w:rsid w:val="436B78D3"/>
    <w:rsid w:val="4B24656C"/>
    <w:rsid w:val="4C7622A1"/>
    <w:rsid w:val="4C9C27FE"/>
    <w:rsid w:val="51130DF6"/>
    <w:rsid w:val="512260B4"/>
    <w:rsid w:val="52BD6ACB"/>
    <w:rsid w:val="530D52E9"/>
    <w:rsid w:val="55537534"/>
    <w:rsid w:val="561A74F1"/>
    <w:rsid w:val="57671164"/>
    <w:rsid w:val="57995095"/>
    <w:rsid w:val="597244E8"/>
    <w:rsid w:val="59AA6878"/>
    <w:rsid w:val="5AB53F94"/>
    <w:rsid w:val="5ABC17C7"/>
    <w:rsid w:val="5EB71C30"/>
    <w:rsid w:val="60FB1283"/>
    <w:rsid w:val="65D858ED"/>
    <w:rsid w:val="66540F27"/>
    <w:rsid w:val="66AF0CE5"/>
    <w:rsid w:val="67BA54E2"/>
    <w:rsid w:val="683C7AA3"/>
    <w:rsid w:val="6AC537CF"/>
    <w:rsid w:val="6CF941B4"/>
    <w:rsid w:val="6E5B14A6"/>
    <w:rsid w:val="6E5B5F54"/>
    <w:rsid w:val="6FCF1BA9"/>
    <w:rsid w:val="711B255E"/>
    <w:rsid w:val="736B748E"/>
    <w:rsid w:val="76E03B76"/>
    <w:rsid w:val="79935991"/>
    <w:rsid w:val="7A5C2227"/>
    <w:rsid w:val="7BB51E06"/>
    <w:rsid w:val="7C387F7C"/>
    <w:rsid w:val="7E9906DA"/>
    <w:rsid w:val="7F871652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6">
    <w:name w:val="p0"/>
    <w:basedOn w:val="1"/>
    <w:qFormat/>
    <w:uiPriority w:val="0"/>
    <w:pPr>
      <w:widowControl/>
    </w:pPr>
    <w:rPr>
      <w:rFonts w:cs="Times New Roman"/>
      <w:kern w:val="0"/>
      <w:szCs w:val="21"/>
    </w:rPr>
  </w:style>
  <w:style w:type="paragraph" w:customStyle="1" w:styleId="7">
    <w:name w:val="p16"/>
    <w:basedOn w:val="1"/>
    <w:qFormat/>
    <w:uiPriority w:val="0"/>
    <w:pPr>
      <w:widowControl/>
    </w:pPr>
    <w:rPr>
      <w:rFonts w:cs="Times New Roman"/>
      <w:kern w:val="0"/>
      <w:szCs w:val="21"/>
    </w:rPr>
  </w:style>
  <w:style w:type="paragraph" w:customStyle="1" w:styleId="8">
    <w:name w:val="列出段落1"/>
    <w:basedOn w:val="1"/>
    <w:qFormat/>
    <w:uiPriority w:val="0"/>
    <w:pPr>
      <w:ind w:firstLine="420" w:firstLineChars="200"/>
    </w:pPr>
    <w:rPr>
      <w:rFonts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307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2449</Words>
  <Characters>2698</Characters>
  <Lines>19</Lines>
  <Paragraphs>5</Paragraphs>
  <TotalTime>3</TotalTime>
  <ScaleCrop>false</ScaleCrop>
  <LinksUpToDate>false</LinksUpToDate>
  <CharactersWithSpaces>2750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很久以后</cp:lastModifiedBy>
  <cp:lastPrinted>2024-03-06T07:40:00Z</cp:lastPrinted>
  <dcterms:modified xsi:type="dcterms:W3CDTF">2026-05-22T09:10:53Z</dcterms:modified>
  <dc:title>附件3：</dc:title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eyJoZGlkIjoiMmRhYmE5YTQ2NWQ0ZGZmZDAwZjJjZDc0MWMyOGUyODUiLCJ1c2VySWQiOiI2NDY5MzA5MDgifQ==</vt:lpwstr>
  </property>
</Properties>
</file>