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584AF7">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524D4209">
      <w:pPr>
        <w:spacing w:line="560" w:lineRule="exact"/>
        <w:jc w:val="center"/>
        <w:rPr>
          <w:rFonts w:ascii="宋体" w:hAnsi="宋体" w:cs="宋体"/>
          <w:b/>
          <w:bCs/>
          <w:sz w:val="44"/>
          <w:szCs w:val="44"/>
        </w:rPr>
      </w:pPr>
    </w:p>
    <w:p w14:paraId="4B943A68">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新华区计生协</w:t>
      </w:r>
    </w:p>
    <w:p w14:paraId="1ADBA77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14:paraId="0342D57C">
      <w:pPr>
        <w:spacing w:line="560" w:lineRule="exact"/>
        <w:jc w:val="center"/>
        <w:rPr>
          <w:rFonts w:ascii="宋体" w:hAnsi="宋体" w:cs="宋体"/>
          <w:sz w:val="32"/>
          <w:szCs w:val="32"/>
        </w:rPr>
      </w:pPr>
    </w:p>
    <w:p w14:paraId="6CCDF620">
      <w:pPr>
        <w:spacing w:line="560" w:lineRule="exact"/>
        <w:jc w:val="center"/>
        <w:rPr>
          <w:rFonts w:ascii="华文楷体" w:eastAsia="华文楷体"/>
          <w:sz w:val="32"/>
          <w:szCs w:val="32"/>
        </w:rPr>
      </w:pPr>
    </w:p>
    <w:p w14:paraId="72168260">
      <w:pPr>
        <w:adjustRightInd w:val="0"/>
        <w:snapToGrid w:val="0"/>
        <w:spacing w:line="560" w:lineRule="exact"/>
        <w:ind w:firstLine="640" w:firstLineChars="200"/>
        <w:rPr>
          <w:rFonts w:ascii="仿宋" w:hAnsi="仿宋" w:eastAsia="仿宋"/>
          <w:sz w:val="32"/>
          <w:szCs w:val="32"/>
        </w:rPr>
      </w:pPr>
      <w:r>
        <w:rPr>
          <w:rFonts w:hint="eastAsia" w:ascii="仿宋_GB2312" w:eastAsia="仿宋_GB2312"/>
          <w:sz w:val="32"/>
          <w:szCs w:val="32"/>
        </w:rPr>
        <w:t>贯彻落实</w:t>
      </w:r>
      <w:r>
        <w:rPr>
          <w:rFonts w:hint="eastAsia" w:ascii="仿宋_GB2312" w:eastAsia="仿宋_GB2312"/>
          <w:sz w:val="32"/>
          <w:szCs w:val="32"/>
          <w:lang w:eastAsia="zh-CN"/>
        </w:rPr>
        <w:t>区</w:t>
      </w:r>
      <w:r>
        <w:rPr>
          <w:rFonts w:hint="eastAsia" w:ascii="仿宋_GB2312" w:eastAsia="仿宋_GB2312"/>
          <w:sz w:val="32"/>
          <w:szCs w:val="32"/>
        </w:rPr>
        <w:t>委</w:t>
      </w:r>
      <w:r>
        <w:rPr>
          <w:rFonts w:hint="eastAsia" w:ascii="仿宋_GB2312" w:eastAsia="仿宋_GB2312"/>
          <w:sz w:val="32"/>
          <w:szCs w:val="32"/>
          <w:lang w:eastAsia="zh-CN"/>
        </w:rPr>
        <w:t>区</w:t>
      </w:r>
      <w:r>
        <w:rPr>
          <w:rFonts w:hint="eastAsia" w:ascii="仿宋_GB2312" w:eastAsia="仿宋_GB2312"/>
          <w:sz w:val="32"/>
          <w:szCs w:val="32"/>
        </w:rPr>
        <w:t>政府《关于全面落实预算绩效管理的实施意见》（新华发〔2019〕9号）文件精神，遵循“科学性、规范性、客观性和公正性”的原则，对</w:t>
      </w:r>
      <w:r>
        <w:rPr>
          <w:rFonts w:hint="eastAsia" w:ascii="仿宋_GB2312" w:eastAsia="仿宋_GB2312"/>
          <w:sz w:val="32"/>
          <w:szCs w:val="32"/>
          <w:lang w:eastAsia="zh-CN"/>
        </w:rPr>
        <w:t>新华区计生协</w:t>
      </w:r>
      <w:r>
        <w:rPr>
          <w:rFonts w:hint="eastAsia" w:ascii="仿宋_GB2312" w:eastAsia="仿宋_GB2312"/>
          <w:sz w:val="32"/>
          <w:szCs w:val="32"/>
        </w:rPr>
        <w:t>部门202</w:t>
      </w:r>
      <w:r>
        <w:rPr>
          <w:rFonts w:hint="eastAsia" w:ascii="仿宋_GB2312" w:eastAsia="仿宋_GB2312"/>
          <w:sz w:val="32"/>
          <w:szCs w:val="32"/>
          <w:lang w:val="en-US" w:eastAsia="zh-CN"/>
        </w:rPr>
        <w:t>3</w:t>
      </w:r>
      <w:r>
        <w:rPr>
          <w:rFonts w:hint="eastAsia" w:ascii="仿宋_GB2312" w:eastAsia="仿宋_GB2312"/>
          <w:sz w:val="32"/>
          <w:szCs w:val="32"/>
        </w:rPr>
        <w:t>年整体支出情况实施了财政支出绩效自评价，形成本评价报告。</w:t>
      </w:r>
    </w:p>
    <w:p w14:paraId="17798E52">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739350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4BE2D55">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部门职责：</w:t>
      </w:r>
    </w:p>
    <w:p w14:paraId="6AC18132">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根据《新华区计划生育协会职能配置、内设机构和人员编制规定》， 新华区计划生育协会的主要职责是：</w:t>
      </w:r>
    </w:p>
    <w:p w14:paraId="4889411F">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动员教育全区计生协会会员带头学习、宣传党的计划生育政策，带头实行计划生育，带头勤劳致富，并以自身的模范行动，带动亲属、好友和会员联系户实行计划生育。</w:t>
      </w:r>
    </w:p>
    <w:p w14:paraId="726497FA">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指导基层协会利用团体会员和理事所在单位的特长和优势，在计划生育这一社会系统工程中发挥作用，组织理事中的有关专家、学者以及有一技之长者搞好调查研究，为计划生育宣传、科技、社会福利贡献力量，为党委和政府决策提供依据，当好党委、政府的参谋。</w:t>
      </w:r>
    </w:p>
    <w:p w14:paraId="5AE9D0F5">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带领本级协会理事，积极开展“三优”（优生、优育、优教）服务和“三结合”服务，大力兴办计划生育系列保险等人口福利事业，为育龄群众排忧解难，扶持育龄群众勤劳致富。</w:t>
      </w:r>
    </w:p>
    <w:p w14:paraId="7D7F519A">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4、</w:t>
      </w:r>
      <w:r>
        <w:rPr>
          <w:rFonts w:hint="eastAsia" w:ascii="仿宋_GB2312" w:eastAsia="仿宋_GB2312"/>
          <w:sz w:val="32"/>
          <w:szCs w:val="32"/>
        </w:rPr>
        <w:t>指导各级协会积极参与计划生育的民主管理和民主监督，集中并反映会员的正确意见和要求，维护会员和育龄群众实行计划生育的正当权益，发挥党和政府联系群众的桥梁、纽带作用，监督各级计划生育专职干部依法行政。</w:t>
      </w:r>
    </w:p>
    <w:p w14:paraId="0DF5BC4B">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5、</w:t>
      </w:r>
      <w:r>
        <w:rPr>
          <w:rFonts w:hint="eastAsia" w:ascii="仿宋_GB2312" w:eastAsia="仿宋_GB2312"/>
          <w:sz w:val="32"/>
          <w:szCs w:val="32"/>
        </w:rPr>
        <w:t>深入基层调查研究，抓好典型交流经验，指导基层协会开展活动。搞好培训，加强各级组织建设，掌握和统计全区计生协组织的活动情况。</w:t>
      </w:r>
    </w:p>
    <w:p w14:paraId="6136A18B">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6、</w:t>
      </w:r>
      <w:r>
        <w:rPr>
          <w:rFonts w:hint="eastAsia" w:ascii="仿宋_GB2312" w:eastAsia="仿宋_GB2312"/>
          <w:sz w:val="32"/>
          <w:szCs w:val="32"/>
        </w:rPr>
        <w:t>做好省、市下达的项目申报和管理工作，主动申报所需项目，对已批准的项目要组织实施，按规定时间进行检查、验收、评估。及时汇报项目的实施情况，努力争取更大更多的国家项目支持。</w:t>
      </w:r>
    </w:p>
    <w:p w14:paraId="5B69E76D">
      <w:pPr>
        <w:adjustRightInd w:val="0"/>
        <w:snapToGrid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7、</w:t>
      </w:r>
      <w:r>
        <w:rPr>
          <w:rFonts w:hint="eastAsia" w:ascii="仿宋_GB2312" w:eastAsia="仿宋_GB2312"/>
          <w:sz w:val="32"/>
          <w:szCs w:val="32"/>
        </w:rPr>
        <w:t>积极开展有关人口方面的群众团体合作与交流活动，在条件成熟的情况下和国际计划生育团体接触、交流、以提高自身业务水平，协调各级协会横向协作，互通信息，不断提高协会组织 工作效率和效能。</w:t>
      </w:r>
    </w:p>
    <w:p w14:paraId="02E069C7">
      <w:pPr>
        <w:spacing w:before="0" w:after="0" w:line="240" w:lineRule="auto"/>
        <w:jc w:val="left"/>
        <w:outlineLvl w:val="9"/>
        <w:rPr>
          <w:rFonts w:ascii="方正楷体_GBK" w:hAnsi="方正楷体_GBK" w:eastAsia="方正楷体_GBK" w:cs="方正楷体_GBK"/>
          <w:b/>
          <w:color w:val="000000"/>
          <w:sz w:val="32"/>
        </w:rPr>
      </w:pPr>
    </w:p>
    <w:p w14:paraId="1985FD84">
      <w:pPr>
        <w:spacing w:before="0" w:after="0" w:line="240" w:lineRule="auto"/>
        <w:jc w:val="left"/>
        <w:outlineLvl w:val="9"/>
      </w:pPr>
      <w:r>
        <w:rPr>
          <w:rFonts w:ascii="方正楷体_GBK" w:hAnsi="方正楷体_GBK" w:eastAsia="方正楷体_GBK" w:cs="方正楷体_GBK"/>
          <w:b/>
          <w:color w:val="000000"/>
          <w:sz w:val="32"/>
        </w:rPr>
        <w:t>机构设置：</w:t>
      </w:r>
    </w:p>
    <w:p w14:paraId="5D9DDA4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D95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6A2E2E6">
            <w:pPr>
              <w:pStyle w:val="7"/>
              <w:rPr>
                <w:rFonts w:hint="eastAsia" w:ascii="仿宋_GB2312" w:hAnsi="Calibri" w:eastAsia="仿宋_GB2312" w:cs="黑体"/>
                <w:b w:val="0"/>
                <w:kern w:val="2"/>
                <w:sz w:val="28"/>
                <w:szCs w:val="28"/>
                <w:lang w:val="en-US" w:eastAsia="zh-CN" w:bidi="ar-SA"/>
              </w:rPr>
            </w:pPr>
            <w:r>
              <w:rPr>
                <w:rFonts w:hint="eastAsia" w:ascii="仿宋_GB2312" w:hAnsi="Calibri" w:eastAsia="仿宋_GB2312" w:cs="黑体"/>
                <w:b w:val="0"/>
                <w:kern w:val="2"/>
                <w:sz w:val="28"/>
                <w:szCs w:val="28"/>
                <w:lang w:val="en-US" w:eastAsia="zh-CN" w:bidi="ar-SA"/>
              </w:rPr>
              <w:t>单位名称</w:t>
            </w:r>
          </w:p>
        </w:tc>
        <w:tc>
          <w:tcPr>
            <w:tcW w:w="2464" w:type="dxa"/>
            <w:vAlign w:val="center"/>
          </w:tcPr>
          <w:p w14:paraId="422ADD81">
            <w:pPr>
              <w:pStyle w:val="7"/>
              <w:rPr>
                <w:rFonts w:hint="eastAsia" w:ascii="仿宋_GB2312" w:hAnsi="Calibri" w:eastAsia="仿宋_GB2312" w:cs="黑体"/>
                <w:b w:val="0"/>
                <w:kern w:val="2"/>
                <w:sz w:val="28"/>
                <w:szCs w:val="28"/>
                <w:lang w:val="en-US" w:eastAsia="zh-CN" w:bidi="ar-SA"/>
              </w:rPr>
            </w:pPr>
            <w:r>
              <w:rPr>
                <w:rFonts w:hint="eastAsia" w:ascii="仿宋_GB2312" w:hAnsi="Calibri" w:eastAsia="仿宋_GB2312" w:cs="黑体"/>
                <w:b w:val="0"/>
                <w:kern w:val="2"/>
                <w:sz w:val="28"/>
                <w:szCs w:val="28"/>
                <w:lang w:val="en-US" w:eastAsia="zh-CN" w:bidi="ar-SA"/>
              </w:rPr>
              <w:t>单位性质</w:t>
            </w:r>
          </w:p>
        </w:tc>
        <w:tc>
          <w:tcPr>
            <w:tcW w:w="2464" w:type="dxa"/>
            <w:vAlign w:val="center"/>
          </w:tcPr>
          <w:p w14:paraId="76879B40">
            <w:pPr>
              <w:pStyle w:val="7"/>
              <w:rPr>
                <w:rFonts w:hint="eastAsia" w:ascii="仿宋_GB2312" w:hAnsi="Calibri" w:eastAsia="仿宋_GB2312" w:cs="黑体"/>
                <w:b w:val="0"/>
                <w:kern w:val="2"/>
                <w:sz w:val="28"/>
                <w:szCs w:val="28"/>
                <w:lang w:val="en-US" w:eastAsia="zh-CN" w:bidi="ar-SA"/>
              </w:rPr>
            </w:pPr>
            <w:r>
              <w:rPr>
                <w:rFonts w:hint="eastAsia" w:ascii="仿宋_GB2312" w:hAnsi="Calibri" w:eastAsia="仿宋_GB2312" w:cs="黑体"/>
                <w:b w:val="0"/>
                <w:kern w:val="2"/>
                <w:sz w:val="28"/>
                <w:szCs w:val="28"/>
                <w:lang w:val="en-US" w:eastAsia="zh-CN" w:bidi="ar-SA"/>
              </w:rPr>
              <w:t>单位规格</w:t>
            </w:r>
          </w:p>
        </w:tc>
        <w:tc>
          <w:tcPr>
            <w:tcW w:w="2464" w:type="dxa"/>
            <w:vAlign w:val="center"/>
          </w:tcPr>
          <w:p w14:paraId="0C497B5E">
            <w:pPr>
              <w:pStyle w:val="7"/>
              <w:rPr>
                <w:rFonts w:hint="eastAsia" w:ascii="仿宋_GB2312" w:hAnsi="Calibri" w:eastAsia="仿宋_GB2312" w:cs="黑体"/>
                <w:b w:val="0"/>
                <w:kern w:val="2"/>
                <w:sz w:val="28"/>
                <w:szCs w:val="28"/>
                <w:lang w:val="en-US" w:eastAsia="zh-CN" w:bidi="ar-SA"/>
              </w:rPr>
            </w:pPr>
            <w:r>
              <w:rPr>
                <w:rFonts w:hint="eastAsia" w:ascii="仿宋_GB2312" w:hAnsi="Calibri" w:eastAsia="仿宋_GB2312" w:cs="黑体"/>
                <w:b w:val="0"/>
                <w:kern w:val="2"/>
                <w:sz w:val="28"/>
                <w:szCs w:val="28"/>
                <w:lang w:val="en-US" w:eastAsia="zh-CN" w:bidi="ar-SA"/>
              </w:rPr>
              <w:t>经费保障形式</w:t>
            </w:r>
          </w:p>
        </w:tc>
      </w:tr>
      <w:tr w14:paraId="6869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9" w:hRule="atLeast"/>
          <w:jc w:val="center"/>
        </w:trPr>
        <w:tc>
          <w:tcPr>
            <w:tcW w:w="2464" w:type="dxa"/>
            <w:vAlign w:val="center"/>
          </w:tcPr>
          <w:p w14:paraId="391FCC63">
            <w:pPr>
              <w:pStyle w:val="8"/>
              <w:rPr>
                <w:rFonts w:hint="eastAsia" w:ascii="仿宋_GB2312" w:hAnsi="Calibri" w:eastAsia="仿宋_GB2312" w:cs="黑体"/>
                <w:b w:val="0"/>
                <w:kern w:val="2"/>
                <w:sz w:val="28"/>
                <w:szCs w:val="28"/>
                <w:lang w:val="en-US" w:eastAsia="zh-CN" w:bidi="ar-SA"/>
              </w:rPr>
            </w:pPr>
            <w:r>
              <w:rPr>
                <w:rFonts w:hint="eastAsia" w:ascii="仿宋_GB2312" w:hAnsi="Calibri" w:eastAsia="仿宋_GB2312" w:cs="黑体"/>
                <w:b w:val="0"/>
                <w:kern w:val="2"/>
                <w:sz w:val="28"/>
                <w:szCs w:val="28"/>
                <w:lang w:val="en-US" w:eastAsia="zh-CN" w:bidi="ar-SA"/>
              </w:rPr>
              <w:t>新华区计划生育协会（本级）</w:t>
            </w:r>
          </w:p>
        </w:tc>
        <w:tc>
          <w:tcPr>
            <w:tcW w:w="2464" w:type="dxa"/>
            <w:vAlign w:val="center"/>
          </w:tcPr>
          <w:p w14:paraId="6EA91739">
            <w:pPr>
              <w:pStyle w:val="9"/>
              <w:rPr>
                <w:rFonts w:hint="eastAsia" w:ascii="仿宋_GB2312" w:hAnsi="Calibri" w:eastAsia="仿宋_GB2312" w:cs="黑体"/>
                <w:b w:val="0"/>
                <w:kern w:val="2"/>
                <w:sz w:val="28"/>
                <w:szCs w:val="28"/>
                <w:lang w:val="en-US" w:eastAsia="zh-CN" w:bidi="ar-SA"/>
              </w:rPr>
            </w:pPr>
            <w:r>
              <w:rPr>
                <w:rFonts w:hint="eastAsia" w:ascii="仿宋_GB2312" w:hAnsi="Calibri" w:eastAsia="仿宋_GB2312" w:cs="黑体"/>
                <w:b w:val="0"/>
                <w:kern w:val="2"/>
                <w:sz w:val="28"/>
                <w:szCs w:val="28"/>
                <w:lang w:val="en-US" w:eastAsia="zh-CN" w:bidi="ar-SA"/>
              </w:rPr>
              <w:t>行政</w:t>
            </w:r>
          </w:p>
        </w:tc>
        <w:tc>
          <w:tcPr>
            <w:tcW w:w="2464" w:type="dxa"/>
            <w:vAlign w:val="center"/>
          </w:tcPr>
          <w:p w14:paraId="15014136">
            <w:pPr>
              <w:pStyle w:val="9"/>
              <w:rPr>
                <w:rFonts w:hint="eastAsia" w:ascii="仿宋_GB2312" w:hAnsi="Calibri" w:eastAsia="仿宋_GB2312" w:cs="黑体"/>
                <w:b w:val="0"/>
                <w:kern w:val="2"/>
                <w:sz w:val="28"/>
                <w:szCs w:val="28"/>
                <w:lang w:val="en-US" w:eastAsia="zh-CN" w:bidi="ar-SA"/>
              </w:rPr>
            </w:pPr>
            <w:r>
              <w:rPr>
                <w:rFonts w:hint="eastAsia" w:ascii="仿宋_GB2312" w:hAnsi="Calibri" w:eastAsia="仿宋_GB2312" w:cs="黑体"/>
                <w:b w:val="0"/>
                <w:kern w:val="2"/>
                <w:sz w:val="28"/>
                <w:szCs w:val="28"/>
                <w:lang w:val="en-US" w:eastAsia="zh-CN" w:bidi="ar-SA"/>
              </w:rPr>
              <w:t>正科级</w:t>
            </w:r>
          </w:p>
        </w:tc>
        <w:tc>
          <w:tcPr>
            <w:tcW w:w="2464" w:type="dxa"/>
            <w:vAlign w:val="center"/>
          </w:tcPr>
          <w:p w14:paraId="69094BC1">
            <w:pPr>
              <w:pStyle w:val="9"/>
              <w:rPr>
                <w:rFonts w:hint="eastAsia" w:ascii="仿宋_GB2312" w:hAnsi="Calibri" w:eastAsia="仿宋_GB2312" w:cs="黑体"/>
                <w:b w:val="0"/>
                <w:kern w:val="2"/>
                <w:sz w:val="28"/>
                <w:szCs w:val="28"/>
                <w:lang w:val="en-US" w:eastAsia="zh-CN" w:bidi="ar-SA"/>
              </w:rPr>
            </w:pPr>
            <w:r>
              <w:rPr>
                <w:rFonts w:hint="eastAsia" w:ascii="仿宋_GB2312" w:hAnsi="Calibri" w:eastAsia="仿宋_GB2312" w:cs="黑体"/>
                <w:b w:val="0"/>
                <w:kern w:val="2"/>
                <w:sz w:val="28"/>
                <w:szCs w:val="28"/>
                <w:lang w:val="en-US" w:eastAsia="zh-CN" w:bidi="ar-SA"/>
              </w:rPr>
              <w:t>财政拨款</w:t>
            </w:r>
          </w:p>
        </w:tc>
      </w:tr>
    </w:tbl>
    <w:p w14:paraId="58083DFF">
      <w:pPr>
        <w:adjustRightInd w:val="0"/>
        <w:snapToGrid w:val="0"/>
        <w:spacing w:line="560" w:lineRule="exact"/>
        <w:rPr>
          <w:rFonts w:hint="eastAsia" w:ascii="仿宋_GB2312" w:eastAsia="仿宋_GB2312"/>
          <w:spacing w:val="-6"/>
          <w:sz w:val="32"/>
          <w:szCs w:val="32"/>
        </w:rPr>
      </w:pPr>
      <w:r>
        <w:rPr>
          <w:rFonts w:hint="eastAsia" w:ascii="仿宋_GB2312" w:eastAsia="仿宋_GB2312"/>
          <w:spacing w:val="-6"/>
          <w:sz w:val="32"/>
          <w:szCs w:val="32"/>
        </w:rPr>
        <w:t>组织机构及人员</w:t>
      </w:r>
      <w:r>
        <w:rPr>
          <w:rFonts w:hint="eastAsia" w:ascii="仿宋_GB2312" w:eastAsia="仿宋_GB2312"/>
          <w:spacing w:val="-6"/>
          <w:sz w:val="32"/>
          <w:szCs w:val="32"/>
          <w:lang w:eastAsia="zh-CN"/>
        </w:rPr>
        <w:t>：新华区</w:t>
      </w:r>
      <w:r>
        <w:rPr>
          <w:rFonts w:hint="eastAsia" w:ascii="仿宋_GB2312" w:eastAsia="仿宋_GB2312"/>
          <w:spacing w:val="-6"/>
          <w:sz w:val="32"/>
          <w:szCs w:val="32"/>
          <w:lang w:val="en-US" w:eastAsia="zh-CN"/>
        </w:rPr>
        <w:t>计生协</w:t>
      </w:r>
      <w:r>
        <w:rPr>
          <w:rFonts w:hint="eastAsia" w:ascii="仿宋_GB2312" w:eastAsia="仿宋_GB2312"/>
          <w:spacing w:val="-6"/>
          <w:sz w:val="32"/>
          <w:szCs w:val="32"/>
          <w:lang w:eastAsia="zh-CN"/>
        </w:rPr>
        <w:t>为参公单位，编制</w:t>
      </w:r>
      <w:r>
        <w:rPr>
          <w:rFonts w:hint="eastAsia" w:ascii="仿宋_GB2312" w:eastAsia="仿宋_GB2312"/>
          <w:spacing w:val="-6"/>
          <w:sz w:val="32"/>
          <w:szCs w:val="32"/>
          <w:lang w:val="en-US" w:eastAsia="zh-CN"/>
        </w:rPr>
        <w:t>4人，在职4人。</w:t>
      </w:r>
    </w:p>
    <w:p w14:paraId="16AA522B">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59726D4A">
      <w:pPr>
        <w:spacing w:line="500" w:lineRule="exact"/>
        <w:ind w:firstLine="640" w:firstLineChars="200"/>
        <w:jc w:val="left"/>
        <w:rPr>
          <w:rFonts w:hint="eastAsia" w:ascii="仿宋_GB2312" w:eastAsia="仿宋_GB2312"/>
          <w:spacing w:val="-6"/>
          <w:sz w:val="32"/>
          <w:szCs w:val="32"/>
          <w:lang w:val="en-US" w:eastAsia="zh-CN"/>
        </w:rPr>
      </w:pPr>
      <w:r>
        <w:rPr>
          <w:rFonts w:hint="eastAsia" w:ascii="楷体" w:hAnsi="楷体" w:eastAsia="楷体" w:cs="楷体_GB2312"/>
          <w:bCs/>
          <w:sz w:val="32"/>
          <w:szCs w:val="32"/>
          <w:lang w:val="en-US" w:eastAsia="zh-CN"/>
        </w:rPr>
        <w:t xml:space="preserve"> </w:t>
      </w:r>
      <w:r>
        <w:rPr>
          <w:rFonts w:hint="eastAsia" w:ascii="Times New Roman" w:hAnsi="Times New Roman" w:eastAsia="仿宋" w:cs="Times New Roman"/>
          <w:sz w:val="32"/>
          <w:szCs w:val="32"/>
          <w:lang w:val="en-US" w:eastAsia="zh-CN"/>
        </w:rPr>
        <w:t>1、</w:t>
      </w:r>
      <w:r>
        <w:rPr>
          <w:rFonts w:hint="eastAsia" w:ascii="仿宋_GB2312" w:eastAsia="仿宋_GB2312"/>
          <w:spacing w:val="-6"/>
          <w:sz w:val="32"/>
          <w:szCs w:val="32"/>
          <w:lang w:val="en-US" w:eastAsia="zh-CN"/>
        </w:rPr>
        <w:t>收入说明</w:t>
      </w:r>
    </w:p>
    <w:p w14:paraId="786C3FE5">
      <w:pPr>
        <w:spacing w:line="500" w:lineRule="exact"/>
        <w:ind w:firstLine="616" w:firstLineChars="200"/>
        <w:jc w:val="left"/>
        <w:rPr>
          <w:rFonts w:hint="eastAsia" w:ascii="仿宋_GB2312" w:eastAsia="仿宋_GB2312"/>
          <w:spacing w:val="-6"/>
          <w:sz w:val="32"/>
          <w:szCs w:val="32"/>
          <w:lang w:val="en-US" w:eastAsia="zh-CN"/>
        </w:rPr>
      </w:pPr>
      <w:r>
        <w:rPr>
          <w:rFonts w:hint="eastAsia" w:ascii="仿宋_GB2312" w:eastAsia="仿宋_GB2312"/>
          <w:spacing w:val="-6"/>
          <w:sz w:val="32"/>
          <w:szCs w:val="32"/>
          <w:lang w:val="en-US" w:eastAsia="zh-CN"/>
        </w:rPr>
        <w:t>本部门2023年区级项目预算收入27.06万，省级专项资金0.7万元，全部为一般公共预算拨款。</w:t>
      </w:r>
    </w:p>
    <w:p w14:paraId="0A29C376">
      <w:pPr>
        <w:spacing w:line="500" w:lineRule="exact"/>
        <w:ind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2、支出说明</w:t>
      </w:r>
    </w:p>
    <w:p w14:paraId="0F717526">
      <w:pPr>
        <w:spacing w:line="500" w:lineRule="exact"/>
        <w:ind w:firstLine="616" w:firstLineChars="200"/>
        <w:jc w:val="left"/>
        <w:rPr>
          <w:rFonts w:hint="default" w:ascii="仿宋_GB2312" w:eastAsia="仿宋_GB2312"/>
          <w:spacing w:val="-6"/>
          <w:sz w:val="32"/>
          <w:szCs w:val="32"/>
          <w:lang w:val="en-US" w:eastAsia="zh-CN"/>
        </w:rPr>
      </w:pPr>
      <w:r>
        <w:rPr>
          <w:rFonts w:hint="eastAsia" w:ascii="仿宋_GB2312" w:eastAsia="仿宋_GB2312"/>
          <w:spacing w:val="-6"/>
          <w:sz w:val="32"/>
          <w:szCs w:val="32"/>
          <w:lang w:val="en-US" w:eastAsia="zh-CN"/>
        </w:rPr>
        <w:t xml:space="preserve"> 区级项目支出26.43万元，包括区“计生家庭意外伤害保险项目经费1.95万元，计生特殊家庭父母住院护工补贴保险项目经费16.88万元,走访慰问救助计生困难家庭项目经费0.6万元，亲情关爱特殊家庭项目经费5万元，宣传教育和组织建设项目经费2万元。省级专项资金项目支出0.7万元。</w:t>
      </w:r>
    </w:p>
    <w:p w14:paraId="1E04D74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E915783">
      <w:pPr>
        <w:spacing w:line="500" w:lineRule="exact"/>
        <w:ind w:firstLine="616" w:firstLineChars="200"/>
        <w:jc w:val="left"/>
        <w:rPr>
          <w:rFonts w:hint="eastAsia" w:ascii="仿宋_GB2312" w:eastAsia="仿宋_GB2312"/>
          <w:spacing w:val="-6"/>
          <w:sz w:val="32"/>
          <w:szCs w:val="32"/>
          <w:lang w:val="en-US" w:eastAsia="zh-CN"/>
        </w:rPr>
      </w:pPr>
      <w:r>
        <w:rPr>
          <w:rFonts w:hint="eastAsia" w:ascii="仿宋_GB2312" w:eastAsia="仿宋_GB2312"/>
          <w:spacing w:val="-6"/>
          <w:sz w:val="32"/>
          <w:szCs w:val="32"/>
          <w:lang w:val="en-US" w:eastAsia="zh-CN"/>
        </w:rPr>
        <w:t>年度发展绩效目标</w:t>
      </w:r>
    </w:p>
    <w:p w14:paraId="2DE15233">
      <w:pPr>
        <w:adjustRightInd w:val="0"/>
        <w:snapToGrid w:val="0"/>
        <w:spacing w:line="560" w:lineRule="exact"/>
        <w:ind w:firstLine="616" w:firstLineChars="200"/>
        <w:rPr>
          <w:rFonts w:hint="eastAsia" w:ascii="仿宋_GB2312" w:eastAsia="仿宋_GB2312"/>
          <w:spacing w:val="-6"/>
          <w:sz w:val="32"/>
          <w:szCs w:val="32"/>
          <w:lang w:val="zh-TW" w:eastAsia="zh-CN"/>
        </w:rPr>
      </w:pPr>
      <w:r>
        <w:rPr>
          <w:rFonts w:hint="eastAsia" w:ascii="仿宋_GB2312" w:eastAsia="仿宋_GB2312"/>
          <w:spacing w:val="-6"/>
          <w:sz w:val="32"/>
          <w:szCs w:val="32"/>
          <w:lang w:val="en-US" w:eastAsia="zh-CN"/>
        </w:rPr>
        <w:t>区计生协将认真贯彻习近平新时代中国特色社会主义思想，紧紧围绕区委、区政府的中心工作，</w:t>
      </w:r>
      <w:r>
        <w:rPr>
          <w:rFonts w:hint="eastAsia" w:ascii="仿宋_GB2312" w:eastAsia="仿宋_GB2312"/>
          <w:spacing w:val="-6"/>
          <w:sz w:val="32"/>
          <w:szCs w:val="32"/>
          <w:lang w:val="zh-TW" w:eastAsia="zh-TW"/>
        </w:rPr>
        <w:t>立足新发展阶段，贯彻新发展理念，构建新发展格局</w:t>
      </w:r>
      <w:r>
        <w:rPr>
          <w:rFonts w:hint="eastAsia" w:ascii="仿宋_GB2312" w:eastAsia="仿宋_GB2312"/>
          <w:spacing w:val="-6"/>
          <w:sz w:val="32"/>
          <w:szCs w:val="32"/>
          <w:lang w:val="zh-TW" w:eastAsia="zh-CN"/>
        </w:rPr>
        <w:t>。</w:t>
      </w:r>
      <w:r>
        <w:rPr>
          <w:rFonts w:hint="eastAsia" w:ascii="仿宋_GB2312" w:eastAsia="仿宋_GB2312"/>
          <w:spacing w:val="-6"/>
          <w:sz w:val="32"/>
          <w:szCs w:val="32"/>
          <w:lang w:val="zh-TW" w:eastAsia="zh-TW"/>
        </w:rPr>
        <w:t>以深化计生协改革为主线，围绕</w:t>
      </w:r>
      <w:r>
        <w:rPr>
          <w:rFonts w:hint="eastAsia" w:ascii="仿宋_GB2312" w:eastAsia="仿宋_GB2312"/>
          <w:spacing w:val="-6"/>
          <w:sz w:val="32"/>
          <w:szCs w:val="32"/>
          <w:lang w:val="en-US" w:eastAsia="zh-CN"/>
        </w:rPr>
        <w:t>加快推进计生协改革、进一步加强宣传培训工作、实施优生优育行动、开展计生特殊家庭亲情关爱行动、实施计生困难家庭帮扶行动、推进流动人口服务等</w:t>
      </w:r>
      <w:r>
        <w:rPr>
          <w:rFonts w:hint="eastAsia" w:ascii="仿宋_GB2312" w:eastAsia="仿宋_GB2312"/>
          <w:spacing w:val="-6"/>
          <w:sz w:val="32"/>
          <w:szCs w:val="32"/>
          <w:lang w:val="zh-TW" w:eastAsia="zh-TW"/>
        </w:rPr>
        <w:t>“六项重点任务”</w:t>
      </w:r>
      <w:r>
        <w:rPr>
          <w:rFonts w:hint="eastAsia" w:ascii="仿宋_GB2312" w:eastAsia="仿宋_GB2312"/>
          <w:spacing w:val="-6"/>
          <w:sz w:val="32"/>
          <w:szCs w:val="32"/>
          <w:lang w:val="zh-TW" w:eastAsia="zh-CN"/>
        </w:rPr>
        <w:t>。</w:t>
      </w:r>
    </w:p>
    <w:p w14:paraId="31E1C46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8AF0B44">
      <w:pPr>
        <w:keepNext w:val="0"/>
        <w:keepLines w:val="0"/>
        <w:pageBreakBefore w:val="0"/>
        <w:widowControl w:val="0"/>
        <w:kinsoku/>
        <w:wordWrap/>
        <w:overflowPunct/>
        <w:topLinePunct w:val="0"/>
        <w:autoSpaceDE w:val="0"/>
        <w:autoSpaceDN w:val="0"/>
        <w:bidi w:val="0"/>
        <w:adjustRightInd w:val="0"/>
        <w:spacing w:line="360" w:lineRule="auto"/>
        <w:textAlignment w:val="auto"/>
        <w:rPr>
          <w:rFonts w:hint="eastAsia" w:ascii="仿宋_GB2312" w:eastAsia="仿宋_GB2312"/>
          <w:spacing w:val="-6"/>
          <w:sz w:val="32"/>
          <w:szCs w:val="32"/>
          <w:lang w:val="en-US" w:eastAsia="zh-CN"/>
        </w:rPr>
      </w:pPr>
      <w:r>
        <w:rPr>
          <w:rFonts w:hint="eastAsia" w:ascii="仿宋" w:hAnsi="仿宋" w:eastAsia="仿宋" w:cs="楷体_GB2312"/>
          <w:b/>
          <w:bCs/>
          <w:sz w:val="32"/>
          <w:szCs w:val="32"/>
        </w:rPr>
        <w:t xml:space="preserve">    </w:t>
      </w:r>
      <w:r>
        <w:rPr>
          <w:rFonts w:hint="eastAsia" w:ascii="仿宋" w:hAnsi="仿宋" w:eastAsia="仿宋"/>
          <w:sz w:val="32"/>
          <w:szCs w:val="32"/>
        </w:rPr>
        <w:t xml:space="preserve"> </w:t>
      </w:r>
      <w:r>
        <w:rPr>
          <w:rFonts w:hint="eastAsia" w:ascii="仿宋_GB2312" w:eastAsia="仿宋_GB2312"/>
          <w:spacing w:val="-6"/>
          <w:sz w:val="32"/>
          <w:szCs w:val="32"/>
          <w:lang w:val="en-US" w:eastAsia="zh-CN"/>
        </w:rPr>
        <w:t xml:space="preserve"> 1.</w:t>
      </w:r>
      <w:r>
        <w:rPr>
          <w:rFonts w:hint="eastAsia" w:ascii="仿宋_GB2312" w:eastAsia="仿宋_GB2312"/>
          <w:spacing w:val="-6"/>
          <w:sz w:val="32"/>
          <w:szCs w:val="32"/>
          <w:lang w:val="zh-CN" w:eastAsia="zh-CN"/>
        </w:rPr>
        <w:t>领导高度重视，加强组织保障。区</w:t>
      </w:r>
      <w:r>
        <w:rPr>
          <w:rFonts w:hint="eastAsia" w:ascii="仿宋_GB2312" w:eastAsia="仿宋_GB2312"/>
          <w:spacing w:val="-6"/>
          <w:sz w:val="32"/>
          <w:szCs w:val="32"/>
          <w:lang w:val="en-US" w:eastAsia="zh-CN"/>
        </w:rPr>
        <w:t>计生协</w:t>
      </w:r>
      <w:r>
        <w:rPr>
          <w:rFonts w:hint="eastAsia" w:ascii="仿宋_GB2312" w:eastAsia="仿宋_GB2312"/>
          <w:spacing w:val="-6"/>
          <w:sz w:val="32"/>
          <w:szCs w:val="32"/>
          <w:lang w:val="zh-CN" w:eastAsia="zh-CN"/>
        </w:rPr>
        <w:t>高度重视预算绩效管理工作，成立了预算绩效自评工作领导小组，预算绩效自评工作实行领导责任制，主要领导亲自安排部署预算绩效自评工作。领导机构和工作机制的建立为部门开展绩效自评提供了坚实组织保障。</w:t>
      </w:r>
    </w:p>
    <w:p w14:paraId="1A70202C">
      <w:pPr>
        <w:keepNext w:val="0"/>
        <w:keepLines w:val="0"/>
        <w:pageBreakBefore w:val="0"/>
        <w:widowControl w:val="0"/>
        <w:kinsoku/>
        <w:wordWrap/>
        <w:overflowPunct/>
        <w:topLinePunct w:val="0"/>
        <w:autoSpaceDE w:val="0"/>
        <w:autoSpaceDN w:val="0"/>
        <w:bidi w:val="0"/>
        <w:adjustRightInd w:val="0"/>
        <w:spacing w:line="360" w:lineRule="auto"/>
        <w:textAlignment w:val="auto"/>
        <w:rPr>
          <w:rFonts w:hint="eastAsia" w:ascii="仿宋_GB2312" w:eastAsia="仿宋_GB2312"/>
          <w:spacing w:val="-6"/>
          <w:sz w:val="32"/>
          <w:szCs w:val="32"/>
          <w:lang w:val="en-US" w:eastAsia="zh-CN"/>
        </w:rPr>
      </w:pPr>
      <w:r>
        <w:rPr>
          <w:rFonts w:ascii="仿宋" w:hAnsi="仿宋" w:eastAsia="仿宋" w:cs="Calibri"/>
          <w:kern w:val="0"/>
          <w:sz w:val="32"/>
          <w:szCs w:val="32"/>
        </w:rPr>
        <w:t xml:space="preserve">   </w:t>
      </w:r>
      <w:r>
        <w:rPr>
          <w:rFonts w:hint="eastAsia" w:ascii="仿宋_GB2312" w:eastAsia="仿宋_GB2312"/>
          <w:spacing w:val="-6"/>
          <w:sz w:val="32"/>
          <w:szCs w:val="32"/>
          <w:lang w:val="en-US" w:eastAsia="zh-CN"/>
        </w:rPr>
        <w:t xml:space="preserve"> 2. </w:t>
      </w:r>
      <w:r>
        <w:rPr>
          <w:rFonts w:hint="eastAsia" w:ascii="仿宋_GB2312" w:eastAsia="仿宋_GB2312"/>
          <w:spacing w:val="-6"/>
          <w:sz w:val="32"/>
          <w:szCs w:val="32"/>
          <w:lang w:val="zh-CN" w:eastAsia="zh-CN"/>
        </w:rPr>
        <w:t>明确职责分工，细化分解任务。组织召开专题会议，部署项目预算绩效自评工作，提出工作要求，压实工作责任，明确专人负责。组织学习了相关文件精神，严格评价标准，准确把握绩效评价的内容与方法，确保评价质量。同时，安排综合素质高、工作责任心强的人员开展预算项目绩效自评工作。</w:t>
      </w:r>
    </w:p>
    <w:p w14:paraId="4BC62F69">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E64DA89">
      <w:pPr>
        <w:keepNext w:val="0"/>
        <w:keepLines w:val="0"/>
        <w:pageBreakBefore w:val="0"/>
        <w:widowControl w:val="0"/>
        <w:kinsoku/>
        <w:wordWrap/>
        <w:overflowPunct/>
        <w:topLinePunct w:val="0"/>
        <w:autoSpaceDE w:val="0"/>
        <w:autoSpaceDN w:val="0"/>
        <w:bidi w:val="0"/>
        <w:adjustRightInd w:val="0"/>
        <w:spacing w:line="360" w:lineRule="auto"/>
        <w:ind w:firstLine="616" w:firstLineChars="200"/>
        <w:textAlignment w:val="auto"/>
        <w:rPr>
          <w:rFonts w:hint="eastAsia" w:ascii="仿宋_GB2312" w:eastAsia="仿宋_GB2312"/>
          <w:spacing w:val="-6"/>
          <w:sz w:val="32"/>
          <w:szCs w:val="32"/>
          <w:lang w:val="en-US" w:eastAsia="zh-CN"/>
        </w:rPr>
      </w:pPr>
      <w:r>
        <w:rPr>
          <w:rFonts w:hint="eastAsia" w:ascii="仿宋_GB2312" w:eastAsia="仿宋_GB2312"/>
          <w:spacing w:val="-6"/>
          <w:sz w:val="32"/>
          <w:szCs w:val="32"/>
          <w:lang w:val="zh-CN" w:eastAsia="zh-CN"/>
        </w:rPr>
        <w:t>全面核查汇总，对标对表评价。</w:t>
      </w:r>
      <w:r>
        <w:rPr>
          <w:rFonts w:hint="eastAsia" w:ascii="仿宋_GB2312" w:eastAsia="仿宋_GB2312"/>
          <w:spacing w:val="-6"/>
          <w:sz w:val="32"/>
          <w:szCs w:val="32"/>
          <w:lang w:val="en-US" w:eastAsia="zh-CN"/>
        </w:rPr>
        <w:t>区计生协</w:t>
      </w:r>
      <w:r>
        <w:rPr>
          <w:rFonts w:hint="eastAsia" w:ascii="仿宋_GB2312" w:eastAsia="仿宋_GB2312"/>
          <w:spacing w:val="-6"/>
          <w:sz w:val="32"/>
          <w:szCs w:val="32"/>
          <w:lang w:val="zh-CN" w:eastAsia="zh-CN"/>
        </w:rPr>
        <w:t>对</w:t>
      </w:r>
      <w:r>
        <w:rPr>
          <w:rFonts w:hint="eastAsia" w:ascii="仿宋_GB2312" w:eastAsia="仿宋_GB2312"/>
          <w:spacing w:val="-6"/>
          <w:sz w:val="32"/>
          <w:szCs w:val="32"/>
          <w:lang w:val="en-US" w:eastAsia="zh-CN"/>
        </w:rPr>
        <w:t>2023</w:t>
      </w:r>
      <w:r>
        <w:rPr>
          <w:rFonts w:hint="eastAsia" w:ascii="仿宋_GB2312" w:eastAsia="仿宋_GB2312"/>
          <w:spacing w:val="-6"/>
          <w:sz w:val="32"/>
          <w:szCs w:val="32"/>
          <w:lang w:val="zh-CN" w:eastAsia="zh-CN"/>
        </w:rPr>
        <w:t>年预算项目绩效自评实施全覆盖，经认真查阅</w:t>
      </w:r>
      <w:r>
        <w:rPr>
          <w:rFonts w:hint="eastAsia" w:ascii="仿宋_GB2312" w:eastAsia="仿宋_GB2312"/>
          <w:spacing w:val="-6"/>
          <w:sz w:val="32"/>
          <w:szCs w:val="32"/>
          <w:lang w:val="en-US" w:eastAsia="zh-CN"/>
        </w:rPr>
        <w:t>2023</w:t>
      </w:r>
      <w:r>
        <w:rPr>
          <w:rFonts w:hint="eastAsia" w:ascii="仿宋_GB2312" w:eastAsia="仿宋_GB2312"/>
          <w:spacing w:val="-6"/>
          <w:sz w:val="32"/>
          <w:szCs w:val="32"/>
          <w:lang w:val="zh-CN" w:eastAsia="zh-CN"/>
        </w:rPr>
        <w:t>年度预算安排、预算追加、资金管理、经费支出等相关文件资料和财务凭证、账簿，对</w:t>
      </w:r>
      <w:r>
        <w:rPr>
          <w:rFonts w:hint="eastAsia" w:ascii="仿宋_GB2312" w:eastAsia="仿宋_GB2312"/>
          <w:spacing w:val="-6"/>
          <w:sz w:val="32"/>
          <w:szCs w:val="32"/>
          <w:lang w:val="en-US" w:eastAsia="zh-CN"/>
        </w:rPr>
        <w:t>2023</w:t>
      </w:r>
      <w:r>
        <w:rPr>
          <w:rFonts w:hint="eastAsia" w:ascii="仿宋_GB2312" w:eastAsia="仿宋_GB2312"/>
          <w:spacing w:val="-6"/>
          <w:sz w:val="32"/>
          <w:szCs w:val="32"/>
          <w:lang w:val="zh-CN" w:eastAsia="zh-CN"/>
        </w:rPr>
        <w:t>年度财政预算项目支出数据的准确性、真实性进行了逐项核实。对照设定的预期绩效目标、绩效评价指标、评价标准和评价方法，根据项目单位提供的调查方案、报表制度、资料汇编、评估报告、文件通知、信息分析等相关佐证资料，对预算项目的经济性、时效性和效益性等方面进行客观公正的量化评价，经综合分析、归纳汇总形成项目自评报告。</w:t>
      </w:r>
    </w:p>
    <w:p w14:paraId="16CEFA3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80E3F00">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501C504">
      <w:pPr>
        <w:keepNext w:val="0"/>
        <w:keepLines w:val="0"/>
        <w:pageBreakBefore w:val="0"/>
        <w:widowControl w:val="0"/>
        <w:kinsoku/>
        <w:wordWrap/>
        <w:overflowPunct/>
        <w:topLinePunct w:val="0"/>
        <w:autoSpaceDE w:val="0"/>
        <w:autoSpaceDN w:val="0"/>
        <w:bidi w:val="0"/>
        <w:adjustRightInd w:val="0"/>
        <w:spacing w:line="360" w:lineRule="auto"/>
        <w:ind w:firstLine="616" w:firstLineChars="200"/>
        <w:textAlignment w:val="auto"/>
        <w:rPr>
          <w:rFonts w:hint="default" w:ascii="仿宋_GB2312" w:eastAsia="仿宋_GB2312"/>
          <w:spacing w:val="-6"/>
          <w:sz w:val="32"/>
          <w:szCs w:val="32"/>
          <w:lang w:val="en-US" w:eastAsia="zh-CN"/>
        </w:rPr>
      </w:pPr>
      <w:r>
        <w:rPr>
          <w:rFonts w:hint="eastAsia" w:ascii="仿宋_GB2312" w:eastAsia="仿宋_GB2312"/>
          <w:spacing w:val="-6"/>
          <w:sz w:val="32"/>
          <w:szCs w:val="32"/>
          <w:lang w:val="zh-CN" w:eastAsia="zh-CN"/>
        </w:rPr>
        <w:t>总体绩效目标如期完成：为全区</w:t>
      </w:r>
      <w:r>
        <w:rPr>
          <w:rFonts w:hint="eastAsia" w:ascii="仿宋_GB2312" w:eastAsia="仿宋_GB2312"/>
          <w:spacing w:val="-6"/>
          <w:sz w:val="32"/>
          <w:szCs w:val="32"/>
          <w:lang w:val="en-US" w:eastAsia="zh-CN"/>
        </w:rPr>
        <w:t>1655</w:t>
      </w:r>
      <w:r>
        <w:rPr>
          <w:rFonts w:hint="eastAsia" w:ascii="仿宋_GB2312" w:eastAsia="仿宋_GB2312"/>
          <w:spacing w:val="-6"/>
          <w:sz w:val="32"/>
          <w:szCs w:val="32"/>
          <w:lang w:val="zh-CN" w:eastAsia="zh-CN"/>
        </w:rPr>
        <w:t>户计生家庭办理</w:t>
      </w:r>
      <w:r>
        <w:rPr>
          <w:rFonts w:hint="eastAsia" w:ascii="仿宋_GB2312" w:eastAsia="仿宋_GB2312"/>
          <w:spacing w:val="-6"/>
          <w:sz w:val="32"/>
          <w:szCs w:val="32"/>
          <w:lang w:val="en-US" w:eastAsia="zh-CN"/>
        </w:rPr>
        <w:t>意外伤害保险</w:t>
      </w:r>
      <w:r>
        <w:rPr>
          <w:rFonts w:hint="eastAsia" w:ascii="仿宋_GB2312" w:eastAsia="仿宋_GB2312"/>
          <w:spacing w:val="-6"/>
          <w:sz w:val="32"/>
          <w:szCs w:val="32"/>
          <w:lang w:val="zh-CN" w:eastAsia="zh-CN"/>
        </w:rPr>
        <w:t>，政府每人补贴</w:t>
      </w:r>
      <w:r>
        <w:rPr>
          <w:rFonts w:hint="eastAsia" w:ascii="仿宋_GB2312" w:eastAsia="仿宋_GB2312"/>
          <w:spacing w:val="-6"/>
          <w:sz w:val="32"/>
          <w:szCs w:val="32"/>
          <w:lang w:val="en-US" w:eastAsia="zh-CN"/>
        </w:rPr>
        <w:t>10</w:t>
      </w:r>
      <w:r>
        <w:rPr>
          <w:rFonts w:hint="eastAsia" w:ascii="仿宋_GB2312" w:eastAsia="仿宋_GB2312"/>
          <w:spacing w:val="-6"/>
          <w:sz w:val="32"/>
          <w:szCs w:val="32"/>
          <w:lang w:val="zh-CN" w:eastAsia="zh-CN"/>
        </w:rPr>
        <w:t>元，由市、区两级财政各分担</w:t>
      </w:r>
      <w:r>
        <w:rPr>
          <w:rFonts w:hint="eastAsia" w:ascii="仿宋_GB2312" w:eastAsia="仿宋_GB2312"/>
          <w:spacing w:val="-6"/>
          <w:sz w:val="32"/>
          <w:szCs w:val="32"/>
          <w:lang w:val="en-US" w:eastAsia="zh-CN"/>
        </w:rPr>
        <w:t>50%,</w:t>
      </w:r>
      <w:r>
        <w:rPr>
          <w:rFonts w:hint="eastAsia" w:ascii="仿宋_GB2312" w:eastAsia="仿宋_GB2312"/>
          <w:spacing w:val="-6"/>
          <w:sz w:val="32"/>
          <w:szCs w:val="32"/>
          <w:lang w:val="zh-CN" w:eastAsia="zh-CN"/>
        </w:rPr>
        <w:t>区资金投入</w:t>
      </w:r>
      <w:r>
        <w:rPr>
          <w:rFonts w:hint="eastAsia" w:ascii="仿宋_GB2312" w:hAnsi="仿宋_GB2312" w:eastAsia="仿宋_GB2312" w:cs="仿宋_GB2312"/>
          <w:sz w:val="32"/>
          <w:szCs w:val="32"/>
          <w:lang w:val="en-US" w:eastAsia="zh-CN"/>
        </w:rPr>
        <w:t>0.8275</w:t>
      </w:r>
      <w:r>
        <w:rPr>
          <w:rFonts w:hint="eastAsia" w:ascii="仿宋_GB2312" w:eastAsia="仿宋_GB2312"/>
          <w:spacing w:val="-6"/>
          <w:sz w:val="32"/>
          <w:szCs w:val="32"/>
          <w:lang w:val="zh-CN" w:eastAsia="zh-CN"/>
        </w:rPr>
        <w:t>万元。</w:t>
      </w:r>
      <w:r>
        <w:rPr>
          <w:rFonts w:hint="eastAsia" w:ascii="仿宋_GB2312" w:eastAsia="仿宋_GB2312"/>
          <w:spacing w:val="-6"/>
          <w:sz w:val="32"/>
          <w:szCs w:val="32"/>
          <w:lang w:val="en-US" w:eastAsia="zh-CN"/>
        </w:rPr>
        <w:t>为373户计生失独家庭投保计生家庭意外伤害保险，区财政全额负担，投入</w:t>
      </w:r>
      <w:r>
        <w:rPr>
          <w:rFonts w:hint="eastAsia" w:ascii="仿宋_GB2312" w:hAnsi="仿宋_GB2312" w:eastAsia="仿宋_GB2312" w:cs="仿宋_GB2312"/>
          <w:sz w:val="32"/>
          <w:szCs w:val="32"/>
          <w:lang w:val="en-US" w:eastAsia="zh-CN"/>
        </w:rPr>
        <w:t>1.119</w:t>
      </w:r>
      <w:r>
        <w:rPr>
          <w:rFonts w:hint="eastAsia" w:ascii="仿宋_GB2312" w:eastAsia="仿宋_GB2312"/>
          <w:spacing w:val="-6"/>
          <w:sz w:val="32"/>
          <w:szCs w:val="32"/>
          <w:lang w:val="en-US" w:eastAsia="zh-CN"/>
        </w:rPr>
        <w:t>万元，完成率97%；</w:t>
      </w:r>
      <w:r>
        <w:rPr>
          <w:rFonts w:hint="eastAsia" w:ascii="仿宋_GB2312" w:eastAsia="仿宋_GB2312"/>
          <w:spacing w:val="-6"/>
          <w:sz w:val="32"/>
          <w:szCs w:val="32"/>
          <w:lang w:val="zh-CN" w:eastAsia="zh-CN"/>
        </w:rPr>
        <w:t>为全区</w:t>
      </w:r>
      <w:r>
        <w:rPr>
          <w:rFonts w:hint="eastAsia" w:ascii="仿宋_GB2312" w:eastAsia="仿宋_GB2312"/>
          <w:spacing w:val="-6"/>
          <w:sz w:val="32"/>
          <w:szCs w:val="32"/>
          <w:lang w:val="en-US" w:eastAsia="zh-CN"/>
        </w:rPr>
        <w:t>538</w:t>
      </w:r>
      <w:r>
        <w:rPr>
          <w:rFonts w:hint="eastAsia" w:ascii="仿宋_GB2312" w:eastAsia="仿宋_GB2312"/>
          <w:spacing w:val="-6"/>
          <w:sz w:val="32"/>
          <w:szCs w:val="32"/>
          <w:lang w:val="zh-CN" w:eastAsia="zh-CN"/>
        </w:rPr>
        <w:t>户</w:t>
      </w:r>
      <w:r>
        <w:rPr>
          <w:rFonts w:hint="eastAsia" w:ascii="仿宋_GB2312" w:eastAsia="仿宋_GB2312"/>
          <w:spacing w:val="-6"/>
          <w:sz w:val="32"/>
          <w:szCs w:val="32"/>
          <w:lang w:val="en-US" w:eastAsia="zh-CN"/>
        </w:rPr>
        <w:t>844</w:t>
      </w:r>
      <w:r>
        <w:rPr>
          <w:rFonts w:hint="eastAsia" w:ascii="仿宋_GB2312" w:eastAsia="仿宋_GB2312"/>
          <w:spacing w:val="-6"/>
          <w:sz w:val="32"/>
          <w:szCs w:val="32"/>
          <w:lang w:val="zh-CN" w:eastAsia="zh-CN"/>
        </w:rPr>
        <w:t>人计生特殊家庭父母办理护工补贴险，政府每人补贴</w:t>
      </w:r>
      <w:r>
        <w:rPr>
          <w:rFonts w:hint="eastAsia" w:ascii="仿宋_GB2312" w:eastAsia="仿宋_GB2312"/>
          <w:spacing w:val="-6"/>
          <w:sz w:val="32"/>
          <w:szCs w:val="32"/>
          <w:lang w:val="en-US" w:eastAsia="zh-CN"/>
        </w:rPr>
        <w:t>400</w:t>
      </w:r>
      <w:r>
        <w:rPr>
          <w:rFonts w:hint="eastAsia" w:ascii="仿宋_GB2312" w:eastAsia="仿宋_GB2312"/>
          <w:spacing w:val="-6"/>
          <w:sz w:val="32"/>
          <w:szCs w:val="32"/>
          <w:lang w:val="zh-CN" w:eastAsia="zh-CN"/>
        </w:rPr>
        <w:t>元，由市、区两级财政各分担</w:t>
      </w:r>
      <w:r>
        <w:rPr>
          <w:rFonts w:hint="eastAsia" w:ascii="仿宋_GB2312" w:eastAsia="仿宋_GB2312"/>
          <w:spacing w:val="-6"/>
          <w:sz w:val="32"/>
          <w:szCs w:val="32"/>
          <w:lang w:val="en-US" w:eastAsia="zh-CN"/>
        </w:rPr>
        <w:t>50%,</w:t>
      </w:r>
      <w:r>
        <w:rPr>
          <w:rFonts w:hint="eastAsia" w:ascii="仿宋_GB2312" w:eastAsia="仿宋_GB2312"/>
          <w:spacing w:val="-6"/>
          <w:sz w:val="32"/>
          <w:szCs w:val="32"/>
          <w:lang w:val="zh-CN" w:eastAsia="zh-CN"/>
        </w:rPr>
        <w:t>区资金投入</w:t>
      </w:r>
      <w:r>
        <w:rPr>
          <w:rFonts w:hint="eastAsia" w:ascii="仿宋_GB2312" w:eastAsia="仿宋_GB2312"/>
          <w:spacing w:val="-6"/>
          <w:sz w:val="32"/>
          <w:szCs w:val="32"/>
          <w:lang w:val="en-US" w:eastAsia="zh-CN"/>
        </w:rPr>
        <w:t>16.88</w:t>
      </w:r>
      <w:r>
        <w:rPr>
          <w:rFonts w:hint="eastAsia" w:ascii="仿宋_GB2312" w:eastAsia="仿宋_GB2312"/>
          <w:spacing w:val="-6"/>
          <w:sz w:val="32"/>
          <w:szCs w:val="32"/>
          <w:lang w:val="zh-CN" w:eastAsia="zh-CN"/>
        </w:rPr>
        <w:t>万元，</w:t>
      </w:r>
      <w:r>
        <w:rPr>
          <w:rFonts w:hint="eastAsia" w:ascii="仿宋_GB2312" w:eastAsia="仿宋_GB2312"/>
          <w:spacing w:val="-6"/>
          <w:sz w:val="32"/>
          <w:szCs w:val="32"/>
          <w:lang w:val="en-US" w:eastAsia="zh-CN"/>
        </w:rPr>
        <w:t>完成率99%；“母亲节、重阳节”等重大节日举办亲情关爱活动，</w:t>
      </w:r>
      <w:r>
        <w:rPr>
          <w:rFonts w:hint="eastAsia" w:ascii="仿宋_GB2312" w:eastAsia="仿宋_GB2312"/>
          <w:spacing w:val="-6"/>
          <w:sz w:val="32"/>
          <w:szCs w:val="32"/>
          <w:lang w:val="zh-CN" w:eastAsia="zh-CN"/>
        </w:rPr>
        <w:t>慰问全区</w:t>
      </w:r>
      <w:r>
        <w:rPr>
          <w:rFonts w:hint="eastAsia" w:ascii="仿宋_GB2312" w:eastAsia="仿宋_GB2312"/>
          <w:spacing w:val="-6"/>
          <w:sz w:val="32"/>
          <w:szCs w:val="32"/>
          <w:lang w:val="en-US" w:eastAsia="zh-CN"/>
        </w:rPr>
        <w:t>失独家庭，完成率100%；走访慰问40户计生特殊困难家庭，为每户送去牛奶、鸡蛋、黑芝麻糊慰问品，完成率100%；“5.29会员日、12.18百万会员学科技日”开展家庭健康生活宣传服务活动，传播健康知识，提高计生家庭健康素养，完成率100%；2023年省级计划生育转移支付专项资金共开展包粽子、观光游园等活动6场次，参加人数300余人次，参与活动群众满意度较高，完成度100%。</w:t>
      </w:r>
    </w:p>
    <w:p w14:paraId="5F0D120B">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B4A47BC">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60" w:firstLineChars="300"/>
        <w:textAlignment w:val="auto"/>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1、</w:t>
      </w:r>
      <w:r>
        <w:rPr>
          <w:rFonts w:hint="eastAsia" w:ascii="仿宋_GB2312" w:eastAsia="仿宋_GB2312"/>
          <w:spacing w:val="-6"/>
          <w:sz w:val="32"/>
          <w:szCs w:val="32"/>
          <w:lang w:val="en-US" w:eastAsia="zh-CN"/>
        </w:rPr>
        <w:t>计生家庭意外伤害保险</w:t>
      </w:r>
    </w:p>
    <w:p w14:paraId="0EC265B9">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eastAsia" w:ascii="仿宋_GB2312" w:hAnsi="Calibri" w:eastAsia="仿宋_GB2312" w:cs="Times New Roman"/>
          <w:sz w:val="32"/>
          <w:szCs w:val="32"/>
          <w:lang w:val="en-US" w:eastAsia="zh-CN"/>
        </w:rPr>
      </w:pPr>
      <w:r>
        <w:rPr>
          <w:rFonts w:hint="eastAsia" w:ascii="仿宋_GB2312" w:eastAsia="仿宋_GB2312"/>
          <w:b/>
          <w:bCs/>
          <w:spacing w:val="-6"/>
          <w:sz w:val="32"/>
          <w:szCs w:val="32"/>
          <w:lang w:val="en-US" w:eastAsia="zh-CN"/>
        </w:rPr>
        <w:t>绩效目标：</w:t>
      </w:r>
      <w:r>
        <w:rPr>
          <w:rFonts w:hint="eastAsia" w:ascii="仿宋_GB2312" w:eastAsia="仿宋_GB2312"/>
          <w:spacing w:val="-6"/>
          <w:sz w:val="32"/>
          <w:szCs w:val="32"/>
          <w:lang w:val="en-US" w:eastAsia="zh-CN"/>
        </w:rPr>
        <w:t>为计生家庭办理意外伤害保险。</w:t>
      </w:r>
    </w:p>
    <w:p w14:paraId="6B6D5475">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default" w:ascii="仿宋_GB2312" w:hAnsi="Calibri" w:eastAsia="仿宋_GB2312" w:cs="Times New Roman"/>
          <w:sz w:val="32"/>
          <w:szCs w:val="32"/>
          <w:lang w:val="en-US" w:eastAsia="zh-CN"/>
        </w:rPr>
      </w:pPr>
      <w:r>
        <w:rPr>
          <w:rFonts w:hint="eastAsia" w:ascii="仿宋_GB2312" w:eastAsia="仿宋_GB2312"/>
          <w:b/>
          <w:bCs/>
          <w:spacing w:val="-6"/>
          <w:sz w:val="32"/>
          <w:szCs w:val="32"/>
          <w:lang w:val="en-US" w:eastAsia="zh-CN"/>
        </w:rPr>
        <w:t>绩效指标：</w:t>
      </w:r>
      <w:r>
        <w:rPr>
          <w:rFonts w:hint="eastAsia" w:ascii="仿宋_GB2312" w:eastAsia="仿宋_GB2312"/>
          <w:spacing w:val="-6"/>
          <w:sz w:val="32"/>
          <w:szCs w:val="32"/>
          <w:lang w:val="en-US" w:eastAsia="zh-CN"/>
        </w:rPr>
        <w:t>提高计生家庭抵御意外风险的能力。绩效目标完成率97%，完成情况良好。</w:t>
      </w:r>
    </w:p>
    <w:p w14:paraId="5B739854">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60" w:firstLineChars="300"/>
        <w:textAlignment w:val="auto"/>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2、</w:t>
      </w:r>
      <w:r>
        <w:rPr>
          <w:rFonts w:hint="eastAsia" w:ascii="仿宋_GB2312" w:eastAsia="仿宋_GB2312"/>
          <w:spacing w:val="-6"/>
          <w:sz w:val="32"/>
          <w:szCs w:val="32"/>
          <w:lang w:val="en-US" w:eastAsia="zh-CN"/>
        </w:rPr>
        <w:t>计生特殊困难家庭父母住院护工补贴保险</w:t>
      </w:r>
    </w:p>
    <w:p w14:paraId="0D1A2DA8">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eastAsia" w:ascii="仿宋_GB2312" w:hAnsi="Calibri" w:eastAsia="仿宋_GB2312" w:cs="Times New Roman"/>
          <w:sz w:val="32"/>
          <w:szCs w:val="32"/>
          <w:lang w:val="en-US" w:eastAsia="zh-CN"/>
        </w:rPr>
      </w:pPr>
      <w:r>
        <w:rPr>
          <w:rFonts w:hint="eastAsia" w:ascii="仿宋_GB2312" w:eastAsia="仿宋_GB2312"/>
          <w:b/>
          <w:bCs/>
          <w:spacing w:val="-6"/>
          <w:sz w:val="32"/>
          <w:szCs w:val="32"/>
          <w:lang w:val="en-US" w:eastAsia="zh-CN"/>
        </w:rPr>
        <w:t>绩效目标：</w:t>
      </w:r>
      <w:r>
        <w:rPr>
          <w:rFonts w:hint="eastAsia" w:ascii="仿宋_GB2312" w:eastAsia="仿宋_GB2312"/>
          <w:spacing w:val="-6"/>
          <w:sz w:val="32"/>
          <w:szCs w:val="32"/>
          <w:lang w:val="en-US" w:eastAsia="zh-CN"/>
        </w:rPr>
        <w:t>为计生特殊困难家庭父母办理住院护工补贴保险。</w:t>
      </w:r>
    </w:p>
    <w:p w14:paraId="17154E3C">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default" w:ascii="仿宋_GB2312" w:hAnsi="Calibri" w:eastAsia="仿宋_GB2312" w:cs="Times New Roman"/>
          <w:sz w:val="32"/>
          <w:szCs w:val="32"/>
          <w:lang w:val="en-US" w:eastAsia="zh-CN"/>
        </w:rPr>
      </w:pPr>
      <w:r>
        <w:rPr>
          <w:rFonts w:hint="eastAsia" w:ascii="仿宋_GB2312" w:eastAsia="仿宋_GB2312"/>
          <w:b/>
          <w:bCs/>
          <w:spacing w:val="-6"/>
          <w:sz w:val="32"/>
          <w:szCs w:val="32"/>
          <w:lang w:val="en-US" w:eastAsia="zh-CN"/>
        </w:rPr>
        <w:t>绩效指标：</w:t>
      </w:r>
      <w:r>
        <w:rPr>
          <w:rFonts w:hint="eastAsia" w:ascii="仿宋_GB2312" w:eastAsia="仿宋_GB2312"/>
          <w:spacing w:val="-6"/>
          <w:sz w:val="32"/>
          <w:szCs w:val="32"/>
          <w:lang w:val="en-US" w:eastAsia="zh-CN"/>
        </w:rPr>
        <w:t>缓解计生特殊困难家庭父母住院护理难的问题。绩效目标完成率99%，完成情况良好。</w:t>
      </w:r>
    </w:p>
    <w:p w14:paraId="0EE9DD86">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60" w:firstLineChars="300"/>
        <w:textAlignment w:val="auto"/>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3、</w:t>
      </w:r>
      <w:r>
        <w:rPr>
          <w:rFonts w:hint="eastAsia" w:ascii="仿宋_GB2312" w:eastAsia="仿宋_GB2312"/>
          <w:spacing w:val="-6"/>
          <w:sz w:val="32"/>
          <w:szCs w:val="32"/>
          <w:lang w:val="en-US" w:eastAsia="zh-CN"/>
        </w:rPr>
        <w:t>走访慰问救助计生困难家庭</w:t>
      </w:r>
    </w:p>
    <w:p w14:paraId="5A0E01D5">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eastAsia" w:ascii="仿宋_GB2312" w:hAnsi="Calibri" w:eastAsia="仿宋_GB2312" w:cs="Times New Roman"/>
          <w:b w:val="0"/>
          <w:bCs w:val="0"/>
          <w:sz w:val="32"/>
          <w:szCs w:val="32"/>
          <w:lang w:val="en-US" w:eastAsia="zh-CN"/>
        </w:rPr>
      </w:pPr>
      <w:r>
        <w:rPr>
          <w:rFonts w:hint="eastAsia" w:ascii="仿宋_GB2312" w:eastAsia="仿宋_GB2312"/>
          <w:b/>
          <w:bCs/>
          <w:spacing w:val="-6"/>
          <w:sz w:val="32"/>
          <w:szCs w:val="32"/>
          <w:lang w:val="en-US" w:eastAsia="zh-CN"/>
        </w:rPr>
        <w:t>绩效目标：</w:t>
      </w:r>
      <w:r>
        <w:rPr>
          <w:rFonts w:hint="eastAsia" w:ascii="仿宋_GB2312" w:eastAsia="仿宋_GB2312"/>
          <w:spacing w:val="-6"/>
          <w:sz w:val="32"/>
          <w:szCs w:val="32"/>
          <w:lang w:val="en-US" w:eastAsia="zh-CN"/>
        </w:rPr>
        <w:t>对计生困难家庭开展走访慰问救助</w:t>
      </w:r>
      <w:r>
        <w:rPr>
          <w:rFonts w:hint="eastAsia" w:ascii="仿宋_GB2312" w:hAnsi="Calibri" w:eastAsia="仿宋_GB2312" w:cs="Times New Roman"/>
          <w:b w:val="0"/>
          <w:bCs w:val="0"/>
          <w:sz w:val="32"/>
          <w:szCs w:val="32"/>
          <w:lang w:val="en-US" w:eastAsia="zh-CN"/>
        </w:rPr>
        <w:t>。</w:t>
      </w:r>
    </w:p>
    <w:p w14:paraId="7AE03ADC">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default" w:ascii="仿宋_GB2312" w:hAnsi="Calibri" w:eastAsia="仿宋_GB2312" w:cs="Times New Roman"/>
          <w:sz w:val="32"/>
          <w:szCs w:val="32"/>
          <w:lang w:val="en-US" w:eastAsia="zh-CN"/>
        </w:rPr>
      </w:pPr>
      <w:r>
        <w:rPr>
          <w:rFonts w:hint="eastAsia" w:ascii="仿宋_GB2312" w:eastAsia="仿宋_GB2312"/>
          <w:b/>
          <w:bCs/>
          <w:spacing w:val="-6"/>
          <w:sz w:val="32"/>
          <w:szCs w:val="32"/>
          <w:lang w:val="en-US" w:eastAsia="zh-CN"/>
        </w:rPr>
        <w:t>绩效指标：</w:t>
      </w:r>
      <w:r>
        <w:rPr>
          <w:rFonts w:hint="eastAsia" w:ascii="仿宋_GB2312" w:eastAsia="仿宋_GB2312"/>
          <w:spacing w:val="-6"/>
          <w:sz w:val="32"/>
          <w:szCs w:val="32"/>
          <w:lang w:val="en-US" w:eastAsia="zh-CN"/>
        </w:rPr>
        <w:t>从精神和物质上帮助计生困难家庭，提高他们的生活质量。绩效目标完成率100%，完成情况良好。</w:t>
      </w:r>
    </w:p>
    <w:p w14:paraId="3DFFD064">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60" w:firstLineChars="300"/>
        <w:textAlignment w:val="auto"/>
        <w:rPr>
          <w:rFonts w:hint="eastAsia"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4、</w:t>
      </w:r>
      <w:r>
        <w:rPr>
          <w:rFonts w:hint="eastAsia" w:ascii="仿宋_GB2312" w:eastAsia="仿宋_GB2312"/>
          <w:spacing w:val="-6"/>
          <w:sz w:val="32"/>
          <w:szCs w:val="32"/>
          <w:lang w:val="en-US" w:eastAsia="zh-CN"/>
        </w:rPr>
        <w:t>亲情关爱计生特殊家庭</w:t>
      </w:r>
    </w:p>
    <w:p w14:paraId="301E503C">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eastAsia" w:ascii="仿宋_GB2312" w:hAnsi="Calibri" w:eastAsia="仿宋_GB2312" w:cs="Times New Roman"/>
          <w:b w:val="0"/>
          <w:bCs w:val="0"/>
          <w:sz w:val="32"/>
          <w:szCs w:val="32"/>
          <w:lang w:val="en-US" w:eastAsia="zh-CN"/>
        </w:rPr>
      </w:pPr>
      <w:r>
        <w:rPr>
          <w:rFonts w:hint="eastAsia" w:ascii="仿宋_GB2312" w:eastAsia="仿宋_GB2312"/>
          <w:b/>
          <w:bCs/>
          <w:spacing w:val="-6"/>
          <w:sz w:val="32"/>
          <w:szCs w:val="32"/>
          <w:lang w:val="en-US" w:eastAsia="zh-CN"/>
        </w:rPr>
        <w:t>绩效目标：</w:t>
      </w:r>
      <w:r>
        <w:rPr>
          <w:rFonts w:hint="eastAsia" w:ascii="仿宋_GB2312" w:eastAsia="仿宋_GB2312"/>
          <w:spacing w:val="-6"/>
          <w:sz w:val="32"/>
          <w:szCs w:val="32"/>
          <w:lang w:val="en-US" w:eastAsia="zh-CN"/>
        </w:rPr>
        <w:t>对计生特殊家庭开展重大节日走访慰问和交流联谊、心理疏导等活动。</w:t>
      </w:r>
    </w:p>
    <w:p w14:paraId="3DDB5CF6">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default" w:ascii="仿宋_GB2312" w:eastAsia="仿宋_GB2312"/>
          <w:spacing w:val="-6"/>
          <w:sz w:val="32"/>
          <w:szCs w:val="32"/>
          <w:lang w:val="en-US" w:eastAsia="zh-CN"/>
        </w:rPr>
      </w:pPr>
      <w:r>
        <w:rPr>
          <w:rFonts w:hint="eastAsia" w:ascii="仿宋_GB2312" w:eastAsia="仿宋_GB2312"/>
          <w:b/>
          <w:bCs/>
          <w:spacing w:val="-6"/>
          <w:sz w:val="32"/>
          <w:szCs w:val="32"/>
          <w:lang w:val="en-US" w:eastAsia="zh-CN"/>
        </w:rPr>
        <w:t>绩效指标：</w:t>
      </w:r>
      <w:r>
        <w:rPr>
          <w:rFonts w:hint="eastAsia" w:ascii="仿宋_GB2312" w:eastAsia="仿宋_GB2312"/>
          <w:spacing w:val="-6"/>
          <w:sz w:val="32"/>
          <w:szCs w:val="32"/>
          <w:lang w:val="en-US" w:eastAsia="zh-CN"/>
        </w:rPr>
        <w:t>使计生特殊家庭感受到政府和社会大家庭的关怀和温暖。绩效目标完成率100%，完成情况良好。</w:t>
      </w:r>
    </w:p>
    <w:p w14:paraId="02A9FA1C">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60" w:firstLineChars="300"/>
        <w:textAlignment w:val="auto"/>
        <w:rPr>
          <w:rFonts w:hint="default" w:ascii="仿宋_GB2312" w:hAnsi="Calibri" w:eastAsia="仿宋_GB2312" w:cs="Times New Roman"/>
          <w:sz w:val="32"/>
          <w:szCs w:val="32"/>
          <w:lang w:val="en-US" w:eastAsia="zh-CN"/>
        </w:rPr>
      </w:pPr>
      <w:r>
        <w:rPr>
          <w:rFonts w:hint="eastAsia" w:ascii="仿宋_GB2312" w:hAnsi="Calibri" w:eastAsia="仿宋_GB2312" w:cs="Times New Roman"/>
          <w:sz w:val="32"/>
          <w:szCs w:val="32"/>
          <w:lang w:val="en-US" w:eastAsia="zh-CN"/>
        </w:rPr>
        <w:t>5、宣传教育和组织建设经费</w:t>
      </w:r>
    </w:p>
    <w:p w14:paraId="7D665057">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eastAsia" w:ascii="仿宋_GB2312" w:eastAsia="仿宋_GB2312"/>
          <w:spacing w:val="-6"/>
          <w:sz w:val="32"/>
          <w:szCs w:val="32"/>
          <w:lang w:val="en-US" w:eastAsia="zh-CN"/>
        </w:rPr>
      </w:pPr>
      <w:r>
        <w:rPr>
          <w:rFonts w:hint="eastAsia" w:ascii="仿宋_GB2312" w:eastAsia="仿宋_GB2312"/>
          <w:b/>
          <w:bCs/>
          <w:spacing w:val="-6"/>
          <w:sz w:val="32"/>
          <w:szCs w:val="32"/>
          <w:lang w:val="en-US" w:eastAsia="zh-CN"/>
        </w:rPr>
        <w:t>绩效目标：</w:t>
      </w:r>
      <w:r>
        <w:rPr>
          <w:rFonts w:hint="eastAsia" w:ascii="仿宋_GB2312" w:eastAsia="仿宋_GB2312"/>
          <w:spacing w:val="-6"/>
          <w:sz w:val="32"/>
          <w:szCs w:val="32"/>
          <w:lang w:val="en-US" w:eastAsia="zh-CN"/>
        </w:rPr>
        <w:t>重大节日开展政策宣讲、普及优生优育、生殖健康等健康知识。</w:t>
      </w:r>
    </w:p>
    <w:p w14:paraId="384654B8">
      <w:pPr>
        <w:pStyle w:val="2"/>
        <w:ind w:firstLine="619" w:firstLineChars="200"/>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b/>
          <w:bCs/>
          <w:spacing w:val="-6"/>
          <w:kern w:val="2"/>
          <w:sz w:val="32"/>
          <w:szCs w:val="32"/>
          <w:lang w:val="en-US" w:eastAsia="zh-CN" w:bidi="ar-SA"/>
        </w:rPr>
        <w:t>绩效指标：</w:t>
      </w:r>
      <w:r>
        <w:rPr>
          <w:rFonts w:hint="eastAsia" w:ascii="仿宋_GB2312" w:hAnsi="Calibri" w:eastAsia="仿宋_GB2312" w:cs="黑体"/>
          <w:spacing w:val="-6"/>
          <w:kern w:val="2"/>
          <w:sz w:val="32"/>
          <w:szCs w:val="32"/>
          <w:lang w:val="en-US" w:eastAsia="zh-CN" w:bidi="ar-SA"/>
        </w:rPr>
        <w:t>增进健康意识，倡导健康生活方式。绩效目标完成率100%，完成情况良好。</w:t>
      </w:r>
    </w:p>
    <w:p w14:paraId="4358B1E7">
      <w:pPr>
        <w:numPr>
          <w:ilvl w:val="0"/>
          <w:numId w:val="3"/>
        </w:numPr>
        <w:ind w:firstLine="924" w:firstLineChars="300"/>
        <w:rPr>
          <w:rFonts w:hint="eastAsia" w:ascii="仿宋_GB2312" w:hAnsi="Calibri" w:eastAsia="仿宋_GB2312" w:cs="黑体"/>
          <w:spacing w:val="-6"/>
          <w:kern w:val="2"/>
          <w:sz w:val="32"/>
          <w:szCs w:val="32"/>
          <w:lang w:val="en-US" w:eastAsia="zh-CN" w:bidi="ar-SA"/>
        </w:rPr>
      </w:pPr>
      <w:r>
        <w:rPr>
          <w:rFonts w:hint="eastAsia" w:ascii="仿宋_GB2312" w:eastAsia="仿宋_GB2312" w:cs="黑体"/>
          <w:spacing w:val="-6"/>
          <w:kern w:val="2"/>
          <w:sz w:val="32"/>
          <w:szCs w:val="32"/>
          <w:lang w:val="en-US" w:eastAsia="zh-CN" w:bidi="ar-SA"/>
        </w:rPr>
        <w:t>2023年</w:t>
      </w:r>
      <w:r>
        <w:rPr>
          <w:rFonts w:hint="eastAsia" w:ascii="仿宋_GB2312" w:hAnsi="Calibri" w:eastAsia="仿宋_GB2312" w:cs="黑体"/>
          <w:spacing w:val="-6"/>
          <w:kern w:val="2"/>
          <w:sz w:val="32"/>
          <w:szCs w:val="32"/>
          <w:lang w:val="en-US" w:eastAsia="zh-CN" w:bidi="ar-SA"/>
        </w:rPr>
        <w:t>省级计划生育</w:t>
      </w:r>
      <w:r>
        <w:rPr>
          <w:rFonts w:hint="eastAsia" w:ascii="仿宋_GB2312" w:eastAsia="仿宋_GB2312" w:cs="黑体"/>
          <w:spacing w:val="-6"/>
          <w:kern w:val="2"/>
          <w:sz w:val="32"/>
          <w:szCs w:val="32"/>
          <w:lang w:val="en-US" w:eastAsia="zh-CN" w:bidi="ar-SA"/>
        </w:rPr>
        <w:t>转移支付专项</w:t>
      </w:r>
      <w:r>
        <w:rPr>
          <w:rFonts w:hint="eastAsia" w:ascii="仿宋_GB2312" w:hAnsi="Calibri" w:eastAsia="仿宋_GB2312" w:cs="黑体"/>
          <w:spacing w:val="-6"/>
          <w:kern w:val="2"/>
          <w:sz w:val="32"/>
          <w:szCs w:val="32"/>
          <w:lang w:val="en-US" w:eastAsia="zh-CN" w:bidi="ar-SA"/>
        </w:rPr>
        <w:t>资金</w:t>
      </w:r>
    </w:p>
    <w:p w14:paraId="117415F0">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b/>
          <w:bCs/>
          <w:spacing w:val="-6"/>
          <w:kern w:val="2"/>
          <w:sz w:val="32"/>
          <w:szCs w:val="32"/>
          <w:lang w:val="en-US" w:eastAsia="zh-CN" w:bidi="ar-SA"/>
        </w:rPr>
        <w:t>绩效目标：</w:t>
      </w:r>
      <w:r>
        <w:rPr>
          <w:rFonts w:hint="eastAsia" w:ascii="仿宋_GB2312" w:hAnsi="Calibri" w:eastAsia="仿宋_GB2312" w:cs="黑体"/>
          <w:spacing w:val="-6"/>
          <w:kern w:val="2"/>
          <w:sz w:val="32"/>
          <w:szCs w:val="32"/>
          <w:lang w:val="en-US" w:eastAsia="zh-CN" w:bidi="ar-SA"/>
        </w:rPr>
        <w:t>组织开展：</w:t>
      </w:r>
      <w:r>
        <w:rPr>
          <w:rFonts w:hint="eastAsia" w:ascii="仿宋_GB2312" w:eastAsia="仿宋_GB2312" w:cs="黑体"/>
          <w:spacing w:val="-6"/>
          <w:kern w:val="2"/>
          <w:sz w:val="32"/>
          <w:szCs w:val="32"/>
          <w:lang w:val="en-US" w:eastAsia="zh-CN" w:bidi="ar-SA"/>
        </w:rPr>
        <w:t>包粽子、观光游园活动</w:t>
      </w:r>
      <w:r>
        <w:rPr>
          <w:rFonts w:hint="eastAsia" w:ascii="仿宋_GB2312" w:hAnsi="Calibri" w:eastAsia="仿宋_GB2312" w:cs="黑体"/>
          <w:spacing w:val="-6"/>
          <w:kern w:val="2"/>
          <w:sz w:val="32"/>
          <w:szCs w:val="32"/>
          <w:lang w:val="en-US" w:eastAsia="zh-CN" w:bidi="ar-SA"/>
        </w:rPr>
        <w:t>。</w:t>
      </w:r>
    </w:p>
    <w:p w14:paraId="4BDDFCFE">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19" w:firstLineChars="200"/>
        <w:textAlignment w:val="auto"/>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b/>
          <w:bCs/>
          <w:spacing w:val="-6"/>
          <w:kern w:val="2"/>
          <w:sz w:val="32"/>
          <w:szCs w:val="32"/>
          <w:lang w:val="en-US" w:eastAsia="zh-CN" w:bidi="ar-SA"/>
        </w:rPr>
        <w:t>绩效指标：</w:t>
      </w:r>
      <w:r>
        <w:rPr>
          <w:rFonts w:hint="eastAsia" w:ascii="仿宋_GB2312" w:hAnsi="Calibri" w:eastAsia="仿宋_GB2312" w:cs="黑体"/>
          <w:spacing w:val="-6"/>
          <w:kern w:val="2"/>
          <w:sz w:val="32"/>
          <w:szCs w:val="32"/>
          <w:lang w:val="en-US" w:eastAsia="zh-CN" w:bidi="ar-SA"/>
        </w:rPr>
        <w:t>帮助计生特殊人员走出情感阴影，释放心理压力，获得情感慰藉，提振生活信心，最终达到平静正常地面对现实生活。通过关爱行动，逐步打破计生特殊家庭的封闭状态。绩效目标完成率100%，完成情况良好。</w:t>
      </w:r>
    </w:p>
    <w:p w14:paraId="1DC3DE76">
      <w:pPr>
        <w:rPr>
          <w:rFonts w:hint="eastAsia"/>
          <w:lang w:val="en-US" w:eastAsia="zh-CN"/>
        </w:rPr>
      </w:pPr>
    </w:p>
    <w:p w14:paraId="0A7DCA9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5A29BBB">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24" w:firstLineChars="300"/>
        <w:textAlignment w:val="auto"/>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zh-CN" w:eastAsia="zh-CN" w:bidi="ar-SA"/>
        </w:rPr>
        <w:t>本评价结论：在资金使用方面，制定和执行了财务管理核算制度，资金使用规范，无违反财务制度情况发生。在项目管理方面，建立了相关制度，努力提高监管水平，保证了项目工作及时、有效地实施。项目的实施，</w:t>
      </w:r>
      <w:r>
        <w:rPr>
          <w:rFonts w:hint="eastAsia" w:ascii="仿宋_GB2312" w:hAnsi="Calibri" w:eastAsia="仿宋_GB2312" w:cs="黑体"/>
          <w:spacing w:val="-6"/>
          <w:kern w:val="2"/>
          <w:sz w:val="32"/>
          <w:szCs w:val="32"/>
          <w:lang w:val="en-US" w:eastAsia="zh-CN" w:bidi="ar-SA"/>
        </w:rPr>
        <w:t xml:space="preserve">有效保证了档案馆各项日常工作的正常开展。 </w:t>
      </w:r>
    </w:p>
    <w:p w14:paraId="682516EA">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24" w:firstLineChars="300"/>
        <w:textAlignment w:val="auto"/>
        <w:rPr>
          <w:rFonts w:hint="eastAsia" w:ascii="仿宋_GB2312" w:hAnsi="Calibri" w:eastAsia="仿宋_GB2312" w:cs="黑体"/>
          <w:spacing w:val="-6"/>
          <w:kern w:val="2"/>
          <w:sz w:val="32"/>
          <w:szCs w:val="32"/>
          <w:lang w:val="zh-CN" w:eastAsia="zh-CN" w:bidi="ar-SA"/>
        </w:rPr>
      </w:pPr>
      <w:r>
        <w:rPr>
          <w:rFonts w:hint="eastAsia" w:ascii="仿宋_GB2312" w:hAnsi="Calibri" w:eastAsia="仿宋_GB2312" w:cs="黑体"/>
          <w:spacing w:val="-6"/>
          <w:kern w:val="2"/>
          <w:sz w:val="32"/>
          <w:szCs w:val="32"/>
          <w:lang w:val="en-US" w:eastAsia="zh-CN" w:bidi="ar-SA"/>
        </w:rPr>
        <w:t>根据部门职责定位和各项工作履职情况</w:t>
      </w:r>
      <w:r>
        <w:rPr>
          <w:rFonts w:hint="eastAsia" w:ascii="仿宋_GB2312" w:hAnsi="Calibri" w:eastAsia="仿宋_GB2312" w:cs="黑体"/>
          <w:spacing w:val="-6"/>
          <w:kern w:val="2"/>
          <w:sz w:val="32"/>
          <w:szCs w:val="32"/>
          <w:lang w:val="zh-CN" w:eastAsia="zh-CN" w:bidi="ar-SA"/>
        </w:rPr>
        <w:t>，自评分为</w:t>
      </w:r>
      <w:r>
        <w:rPr>
          <w:rFonts w:hint="eastAsia" w:ascii="仿宋_GB2312" w:hAnsi="Calibri" w:eastAsia="仿宋_GB2312" w:cs="黑体"/>
          <w:spacing w:val="-6"/>
          <w:kern w:val="2"/>
          <w:sz w:val="32"/>
          <w:szCs w:val="32"/>
          <w:lang w:val="en-US" w:eastAsia="zh-CN" w:bidi="ar-SA"/>
        </w:rPr>
        <w:t>100</w:t>
      </w:r>
      <w:r>
        <w:rPr>
          <w:rFonts w:hint="eastAsia" w:ascii="仿宋_GB2312" w:hAnsi="Calibri" w:eastAsia="仿宋_GB2312" w:cs="黑体"/>
          <w:spacing w:val="-6"/>
          <w:kern w:val="2"/>
          <w:sz w:val="32"/>
          <w:szCs w:val="32"/>
          <w:lang w:val="zh-CN" w:eastAsia="zh-CN" w:bidi="ar-SA"/>
        </w:rPr>
        <w:t>分，为优秀等级。</w:t>
      </w:r>
    </w:p>
    <w:p w14:paraId="2D94404C">
      <w:pPr>
        <w:numPr>
          <w:ilvl w:val="0"/>
          <w:numId w:val="4"/>
        </w:num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存在的问题及改进措施</w:t>
      </w:r>
    </w:p>
    <w:p w14:paraId="1B75819D">
      <w:pPr>
        <w:numPr>
          <w:ilvl w:val="0"/>
          <w:numId w:val="0"/>
        </w:numPr>
        <w:spacing w:line="560" w:lineRule="exact"/>
        <w:ind w:firstLine="640" w:firstLineChars="200"/>
        <w:rPr>
          <w:rFonts w:hint="eastAsia" w:ascii="仿宋_GB2312" w:hAnsi="Calibri" w:eastAsia="仿宋_GB2312" w:cs="黑体"/>
          <w:spacing w:val="-6"/>
          <w:kern w:val="2"/>
          <w:sz w:val="32"/>
          <w:szCs w:val="32"/>
          <w:lang w:val="en-US" w:eastAsia="zh-CN" w:bidi="ar-SA"/>
        </w:rPr>
      </w:pPr>
      <w:r>
        <w:rPr>
          <w:rFonts w:hint="eastAsia" w:ascii="楷体" w:hAnsi="楷体" w:eastAsia="楷体"/>
          <w:bCs/>
          <w:sz w:val="32"/>
          <w:szCs w:val="32"/>
        </w:rPr>
        <w:t>（一）</w:t>
      </w:r>
      <w:r>
        <w:rPr>
          <w:rFonts w:hint="eastAsia" w:ascii="仿宋_GB2312" w:hAnsi="Calibri" w:eastAsia="仿宋_GB2312" w:cs="黑体"/>
          <w:spacing w:val="-6"/>
          <w:kern w:val="2"/>
          <w:sz w:val="32"/>
          <w:szCs w:val="32"/>
          <w:lang w:val="en-US" w:eastAsia="zh-CN" w:bidi="ar-SA"/>
        </w:rPr>
        <w:t>加强资金的绩效意识，发挥资金最大效益。</w:t>
      </w:r>
    </w:p>
    <w:p w14:paraId="07888262">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640" w:firstLineChars="200"/>
        <w:textAlignment w:val="auto"/>
        <w:rPr>
          <w:rFonts w:hint="eastAsia" w:ascii="仿宋_GB2312" w:hAnsi="Calibri" w:eastAsia="仿宋_GB2312" w:cs="黑体"/>
          <w:spacing w:val="-6"/>
          <w:kern w:val="2"/>
          <w:sz w:val="32"/>
          <w:szCs w:val="32"/>
          <w:lang w:val="en-US" w:eastAsia="zh-CN" w:bidi="ar-SA"/>
        </w:rPr>
      </w:pPr>
      <w:r>
        <w:rPr>
          <w:rFonts w:hint="eastAsia" w:ascii="楷体" w:hAnsi="楷体" w:eastAsia="楷体"/>
          <w:bCs/>
          <w:sz w:val="32"/>
          <w:szCs w:val="32"/>
        </w:rPr>
        <w:t>（二）</w:t>
      </w:r>
      <w:r>
        <w:rPr>
          <w:rFonts w:hint="eastAsia" w:ascii="仿宋_GB2312" w:hAnsi="Calibri" w:eastAsia="仿宋_GB2312" w:cs="黑体"/>
          <w:spacing w:val="-6"/>
          <w:kern w:val="2"/>
          <w:sz w:val="32"/>
          <w:szCs w:val="32"/>
          <w:lang w:val="en-US" w:eastAsia="zh-CN" w:bidi="ar-SA"/>
        </w:rPr>
        <w:t xml:space="preserve"> 一是</w:t>
      </w:r>
      <w:r>
        <w:rPr>
          <w:rFonts w:hint="eastAsia" w:ascii="仿宋_GB2312" w:eastAsia="仿宋_GB2312" w:cs="黑体"/>
          <w:spacing w:val="-6"/>
          <w:kern w:val="2"/>
          <w:sz w:val="32"/>
          <w:szCs w:val="32"/>
          <w:lang w:val="en-US" w:eastAsia="zh-CN" w:bidi="ar-SA"/>
        </w:rPr>
        <w:t>健</w:t>
      </w:r>
      <w:bookmarkStart w:id="0" w:name="_GoBack"/>
      <w:bookmarkEnd w:id="0"/>
      <w:r>
        <w:rPr>
          <w:rFonts w:hint="eastAsia" w:ascii="仿宋_GB2312" w:hAnsi="Calibri" w:eastAsia="仿宋_GB2312" w:cs="黑体"/>
          <w:spacing w:val="-6"/>
          <w:kern w:val="2"/>
          <w:sz w:val="32"/>
          <w:szCs w:val="32"/>
          <w:lang w:val="en-US" w:eastAsia="zh-CN" w:bidi="ar-SA"/>
        </w:rPr>
        <w:t>全项目管理制度，制定项目用款计划、预期绩效</w:t>
      </w:r>
    </w:p>
    <w:p w14:paraId="01043C3D">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24" w:firstLineChars="300"/>
        <w:textAlignment w:val="auto"/>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目标，充分发挥资金使用效益。</w:t>
      </w:r>
    </w:p>
    <w:p w14:paraId="69D2D561">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24" w:firstLineChars="300"/>
        <w:textAlignment w:val="auto"/>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 xml:space="preserve"> 二是加强财务管理人员业务素质，组织岗位培训，在业</w:t>
      </w:r>
    </w:p>
    <w:p w14:paraId="2BF1C05B">
      <w:pPr>
        <w:keepNext w:val="0"/>
        <w:keepLines w:val="0"/>
        <w:pageBreakBefore w:val="0"/>
        <w:widowControl w:val="0"/>
        <w:numPr>
          <w:ilvl w:val="0"/>
          <w:numId w:val="0"/>
        </w:numPr>
        <w:kinsoku/>
        <w:wordWrap/>
        <w:overflowPunct/>
        <w:topLinePunct w:val="0"/>
        <w:autoSpaceDE/>
        <w:autoSpaceDN/>
        <w:bidi w:val="0"/>
        <w:adjustRightInd/>
        <w:snapToGrid/>
        <w:spacing w:before="156" w:beforeLines="50" w:after="156" w:afterLines="50" w:line="440" w:lineRule="exact"/>
        <w:ind w:firstLine="924" w:firstLineChars="300"/>
        <w:textAlignment w:val="auto"/>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务上不断提高。</w:t>
      </w:r>
    </w:p>
    <w:p w14:paraId="45DE807C">
      <w:pPr>
        <w:numPr>
          <w:ilvl w:val="0"/>
          <w:numId w:val="5"/>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tbl>
      <w:tblPr>
        <w:tblStyle w:val="5"/>
        <w:tblpPr w:leftFromText="180" w:rightFromText="180" w:vertAnchor="text" w:horzAnchor="page" w:tblpX="1966" w:tblpY="224"/>
        <w:tblOverlap w:val="never"/>
        <w:tblW w:w="896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10"/>
        <w:gridCol w:w="2168"/>
        <w:gridCol w:w="2836"/>
        <w:gridCol w:w="2155"/>
      </w:tblGrid>
      <w:tr w14:paraId="45C0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810" w:type="dxa"/>
            <w:tcBorders>
              <w:top w:val="single" w:color="auto" w:sz="6" w:space="0"/>
              <w:left w:val="single" w:color="auto" w:sz="6" w:space="0"/>
              <w:bottom w:val="single" w:color="auto" w:sz="6" w:space="0"/>
              <w:right w:val="single" w:color="auto" w:sz="6" w:space="0"/>
              <w:tl2br w:val="nil"/>
              <w:tr2bl w:val="nil"/>
            </w:tcBorders>
            <w:noWrap w:val="0"/>
            <w:vAlign w:val="top"/>
          </w:tcPr>
          <w:p w14:paraId="1B896FB0">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both"/>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 xml:space="preserve">    姓名</w:t>
            </w:r>
          </w:p>
        </w:tc>
        <w:tc>
          <w:tcPr>
            <w:tcW w:w="2168" w:type="dxa"/>
            <w:tcBorders>
              <w:top w:val="single" w:color="auto" w:sz="6" w:space="0"/>
              <w:left w:val="single" w:color="auto" w:sz="6" w:space="0"/>
              <w:bottom w:val="single" w:color="auto" w:sz="6" w:space="0"/>
              <w:right w:val="single" w:color="auto" w:sz="6" w:space="0"/>
              <w:tl2br w:val="nil"/>
              <w:tr2bl w:val="nil"/>
            </w:tcBorders>
            <w:noWrap w:val="0"/>
            <w:vAlign w:val="top"/>
          </w:tcPr>
          <w:p w14:paraId="5C832AD2">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工作组职务</w:t>
            </w:r>
          </w:p>
        </w:tc>
        <w:tc>
          <w:tcPr>
            <w:tcW w:w="2836" w:type="dxa"/>
            <w:tcBorders>
              <w:top w:val="single" w:color="auto" w:sz="6" w:space="0"/>
              <w:left w:val="single" w:color="auto" w:sz="6" w:space="0"/>
              <w:bottom w:val="single" w:color="auto" w:sz="6" w:space="0"/>
              <w:right w:val="single" w:color="auto" w:sz="6" w:space="0"/>
              <w:tl2br w:val="nil"/>
              <w:tr2bl w:val="nil"/>
            </w:tcBorders>
            <w:noWrap w:val="0"/>
            <w:vAlign w:val="top"/>
          </w:tcPr>
          <w:p w14:paraId="4DD7F3E3">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单位职务</w:t>
            </w:r>
          </w:p>
        </w:tc>
        <w:tc>
          <w:tcPr>
            <w:tcW w:w="2155" w:type="dxa"/>
            <w:tcBorders>
              <w:top w:val="single" w:color="auto" w:sz="6" w:space="0"/>
              <w:left w:val="single" w:color="auto" w:sz="6" w:space="0"/>
              <w:bottom w:val="single" w:color="auto" w:sz="6" w:space="0"/>
              <w:right w:val="single" w:color="auto" w:sz="6" w:space="0"/>
              <w:tl2br w:val="nil"/>
              <w:tr2bl w:val="nil"/>
            </w:tcBorders>
            <w:noWrap w:val="0"/>
            <w:vAlign w:val="top"/>
          </w:tcPr>
          <w:p w14:paraId="61F9BB70">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签名</w:t>
            </w:r>
          </w:p>
        </w:tc>
      </w:tr>
      <w:tr w14:paraId="53E1F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810" w:type="dxa"/>
            <w:tcBorders>
              <w:top w:val="single" w:color="auto" w:sz="6" w:space="0"/>
              <w:left w:val="single" w:color="auto" w:sz="6" w:space="0"/>
              <w:bottom w:val="single" w:color="auto" w:sz="6" w:space="0"/>
              <w:right w:val="single" w:color="auto" w:sz="6" w:space="0"/>
              <w:tl2br w:val="nil"/>
              <w:tr2bl w:val="nil"/>
            </w:tcBorders>
            <w:noWrap w:val="0"/>
            <w:vAlign w:val="top"/>
          </w:tcPr>
          <w:p w14:paraId="1FF047C5">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孟鑫</w:t>
            </w:r>
          </w:p>
        </w:tc>
        <w:tc>
          <w:tcPr>
            <w:tcW w:w="2168" w:type="dxa"/>
            <w:tcBorders>
              <w:top w:val="single" w:color="auto" w:sz="6" w:space="0"/>
              <w:left w:val="single" w:color="auto" w:sz="6" w:space="0"/>
              <w:bottom w:val="single" w:color="auto" w:sz="6" w:space="0"/>
              <w:right w:val="single" w:color="auto" w:sz="6" w:space="0"/>
              <w:tl2br w:val="nil"/>
              <w:tr2bl w:val="nil"/>
            </w:tcBorders>
            <w:noWrap w:val="0"/>
            <w:vAlign w:val="top"/>
          </w:tcPr>
          <w:p w14:paraId="66078A0A">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组长</w:t>
            </w:r>
          </w:p>
        </w:tc>
        <w:tc>
          <w:tcPr>
            <w:tcW w:w="2836" w:type="dxa"/>
            <w:tcBorders>
              <w:top w:val="single" w:color="auto" w:sz="6" w:space="0"/>
              <w:left w:val="single" w:color="auto" w:sz="6" w:space="0"/>
              <w:bottom w:val="single" w:color="auto" w:sz="6" w:space="0"/>
              <w:right w:val="single" w:color="auto" w:sz="6" w:space="0"/>
              <w:tl2br w:val="nil"/>
              <w:tr2bl w:val="nil"/>
            </w:tcBorders>
            <w:noWrap w:val="0"/>
            <w:vAlign w:val="top"/>
          </w:tcPr>
          <w:p w14:paraId="0DA340A7">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常务副会长</w:t>
            </w:r>
          </w:p>
        </w:tc>
        <w:tc>
          <w:tcPr>
            <w:tcW w:w="2155" w:type="dxa"/>
            <w:tcBorders>
              <w:top w:val="single" w:color="auto" w:sz="6" w:space="0"/>
              <w:left w:val="single" w:color="auto" w:sz="6" w:space="0"/>
              <w:bottom w:val="single" w:color="auto" w:sz="6" w:space="0"/>
              <w:right w:val="single" w:color="auto" w:sz="6" w:space="0"/>
              <w:tl2br w:val="nil"/>
              <w:tr2bl w:val="nil"/>
            </w:tcBorders>
            <w:noWrap w:val="0"/>
            <w:vAlign w:val="top"/>
          </w:tcPr>
          <w:p w14:paraId="09F6FF17">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p>
        </w:tc>
      </w:tr>
      <w:tr w14:paraId="6F286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810" w:type="dxa"/>
            <w:tcBorders>
              <w:top w:val="single" w:color="auto" w:sz="6" w:space="0"/>
              <w:left w:val="single" w:color="auto" w:sz="6" w:space="0"/>
              <w:bottom w:val="single" w:color="auto" w:sz="6" w:space="0"/>
              <w:right w:val="single" w:color="auto" w:sz="6" w:space="0"/>
              <w:tl2br w:val="nil"/>
              <w:tr2bl w:val="nil"/>
            </w:tcBorders>
            <w:noWrap w:val="0"/>
            <w:vAlign w:val="top"/>
          </w:tcPr>
          <w:p w14:paraId="7162BB53">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么梅</w:t>
            </w:r>
          </w:p>
        </w:tc>
        <w:tc>
          <w:tcPr>
            <w:tcW w:w="2168" w:type="dxa"/>
            <w:tcBorders>
              <w:top w:val="single" w:color="auto" w:sz="6" w:space="0"/>
              <w:left w:val="single" w:color="auto" w:sz="6" w:space="0"/>
              <w:bottom w:val="single" w:color="auto" w:sz="6" w:space="0"/>
              <w:right w:val="single" w:color="auto" w:sz="6" w:space="0"/>
              <w:tl2br w:val="nil"/>
              <w:tr2bl w:val="nil"/>
            </w:tcBorders>
            <w:noWrap w:val="0"/>
            <w:vAlign w:val="top"/>
          </w:tcPr>
          <w:p w14:paraId="40B98C73">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成员</w:t>
            </w:r>
          </w:p>
        </w:tc>
        <w:tc>
          <w:tcPr>
            <w:tcW w:w="2836" w:type="dxa"/>
            <w:tcBorders>
              <w:top w:val="single" w:color="auto" w:sz="6" w:space="0"/>
              <w:left w:val="single" w:color="auto" w:sz="6" w:space="0"/>
              <w:bottom w:val="single" w:color="auto" w:sz="6" w:space="0"/>
              <w:right w:val="single" w:color="auto" w:sz="6" w:space="0"/>
              <w:tl2br w:val="nil"/>
              <w:tr2bl w:val="nil"/>
            </w:tcBorders>
            <w:noWrap w:val="0"/>
            <w:vAlign w:val="top"/>
          </w:tcPr>
          <w:p w14:paraId="5F3E8BF8">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r>
              <w:rPr>
                <w:rFonts w:hint="eastAsia" w:ascii="仿宋_GB2312" w:hAnsi="Calibri" w:eastAsia="仿宋_GB2312" w:cs="黑体"/>
                <w:spacing w:val="-6"/>
                <w:kern w:val="2"/>
                <w:sz w:val="32"/>
                <w:szCs w:val="32"/>
                <w:lang w:val="en-US" w:eastAsia="zh-CN" w:bidi="ar-SA"/>
              </w:rPr>
              <w:t>副会长</w:t>
            </w:r>
          </w:p>
        </w:tc>
        <w:tc>
          <w:tcPr>
            <w:tcW w:w="2155" w:type="dxa"/>
            <w:tcBorders>
              <w:top w:val="single" w:color="auto" w:sz="6" w:space="0"/>
              <w:left w:val="single" w:color="auto" w:sz="6" w:space="0"/>
              <w:bottom w:val="single" w:color="auto" w:sz="6" w:space="0"/>
              <w:right w:val="single" w:color="auto" w:sz="6" w:space="0"/>
              <w:tl2br w:val="nil"/>
              <w:tr2bl w:val="nil"/>
            </w:tcBorders>
            <w:noWrap w:val="0"/>
            <w:vAlign w:val="top"/>
          </w:tcPr>
          <w:p w14:paraId="3E843BEC">
            <w:pPr>
              <w:keepNext w:val="0"/>
              <w:keepLines w:val="0"/>
              <w:pageBreakBefore w:val="0"/>
              <w:widowControl w:val="0"/>
              <w:kinsoku/>
              <w:wordWrap/>
              <w:overflowPunct/>
              <w:topLinePunct w:val="0"/>
              <w:autoSpaceDE/>
              <w:autoSpaceDN/>
              <w:bidi w:val="0"/>
              <w:spacing w:before="0" w:beforeLines="0" w:after="0" w:afterLines="0" w:line="540" w:lineRule="exact"/>
              <w:ind w:left="0" w:leftChars="0" w:right="0" w:rightChars="0" w:firstLine="0" w:firstLineChars="0"/>
              <w:jc w:val="center"/>
              <w:textAlignment w:val="auto"/>
              <w:outlineLvl w:val="9"/>
              <w:rPr>
                <w:rFonts w:hint="eastAsia" w:ascii="仿宋_GB2312" w:hAnsi="Calibri" w:eastAsia="仿宋_GB2312" w:cs="黑体"/>
                <w:spacing w:val="-6"/>
                <w:kern w:val="2"/>
                <w:sz w:val="32"/>
                <w:szCs w:val="32"/>
                <w:lang w:val="en-US" w:eastAsia="zh-CN" w:bidi="ar-SA"/>
              </w:rPr>
            </w:pPr>
          </w:p>
        </w:tc>
      </w:tr>
    </w:tbl>
    <w:p w14:paraId="1A7B51FE">
      <w:pPr>
        <w:numPr>
          <w:ilvl w:val="0"/>
          <w:numId w:val="0"/>
        </w:numPr>
        <w:adjustRightInd w:val="0"/>
        <w:snapToGrid w:val="0"/>
        <w:spacing w:line="560" w:lineRule="exact"/>
        <w:rPr>
          <w:rFonts w:hint="default" w:ascii="黑体" w:hAnsi="黑体" w:eastAsia="黑体"/>
          <w:sz w:val="32"/>
          <w:szCs w:val="32"/>
          <w:lang w:val="en-US" w:eastAsia="zh-CN"/>
        </w:rPr>
      </w:pPr>
      <w:r>
        <w:rPr>
          <w:rFonts w:hint="eastAsia" w:ascii="黑体" w:hAnsi="黑体" w:eastAsia="黑体"/>
          <w:sz w:val="32"/>
          <w:szCs w:val="32"/>
          <w:lang w:val="en-US" w:eastAsia="zh-CN"/>
        </w:rPr>
        <w:t xml:space="preserve">  </w:t>
      </w:r>
    </w:p>
    <w:p w14:paraId="0DFFE737">
      <w:pPr>
        <w:numPr>
          <w:ilvl w:val="0"/>
          <w:numId w:val="0"/>
        </w:numPr>
        <w:adjustRightInd w:val="0"/>
        <w:snapToGrid w:val="0"/>
        <w:spacing w:line="560" w:lineRule="exact"/>
        <w:rPr>
          <w:rFonts w:hint="default" w:ascii="黑体" w:hAnsi="黑体" w:eastAsia="黑体"/>
          <w:sz w:val="32"/>
          <w:szCs w:val="32"/>
          <w:lang w:val="en-US" w:eastAsia="zh-CN"/>
        </w:rPr>
      </w:pPr>
    </w:p>
    <w:p w14:paraId="42226E32">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书宋_GBK">
    <w:altName w:val="微软雅黑"/>
    <w:panose1 w:val="02000000000000000000"/>
    <w:charset w:val="86"/>
    <w:family w:val="auto"/>
    <w:pitch w:val="default"/>
    <w:sig w:usb0="00000000" w:usb1="00000000"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楷体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7C05B">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B12E90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B12E90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083E5E"/>
    <w:multiLevelType w:val="singleLevel"/>
    <w:tmpl w:val="A5083E5E"/>
    <w:lvl w:ilvl="0" w:tentative="0">
      <w:start w:val="5"/>
      <w:numFmt w:val="chineseCounting"/>
      <w:suff w:val="nothing"/>
      <w:lvlText w:val="%1、"/>
      <w:lvlJc w:val="left"/>
      <w:rPr>
        <w:rFonts w:hint="eastAsia"/>
      </w:rPr>
    </w:lvl>
  </w:abstractNum>
  <w:abstractNum w:abstractNumId="1">
    <w:nsid w:val="D06D18FA"/>
    <w:multiLevelType w:val="singleLevel"/>
    <w:tmpl w:val="D06D18FA"/>
    <w:lvl w:ilvl="0" w:tentative="0">
      <w:start w:val="6"/>
      <w:numFmt w:val="decimal"/>
      <w:suff w:val="nothing"/>
      <w:lvlText w:val="%1、"/>
      <w:lvlJc w:val="left"/>
    </w:lvl>
  </w:abstractNum>
  <w:abstractNum w:abstractNumId="2">
    <w:nsid w:val="D42A9CCB"/>
    <w:multiLevelType w:val="singleLevel"/>
    <w:tmpl w:val="D42A9CCB"/>
    <w:lvl w:ilvl="0" w:tentative="0">
      <w:start w:val="6"/>
      <w:numFmt w:val="chineseCounting"/>
      <w:suff w:val="nothing"/>
      <w:lvlText w:val="%1、"/>
      <w:lvlJc w:val="left"/>
      <w:rPr>
        <w:rFonts w:hint="eastAsia"/>
      </w:rPr>
    </w:lvl>
  </w:abstractNum>
  <w:abstractNum w:abstractNumId="3">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826650A"/>
    <w:rsid w:val="09721397"/>
    <w:rsid w:val="0AB255DB"/>
    <w:rsid w:val="0BB63BED"/>
    <w:rsid w:val="0EB97A43"/>
    <w:rsid w:val="0EBD2122"/>
    <w:rsid w:val="0F214EAE"/>
    <w:rsid w:val="11B71E6A"/>
    <w:rsid w:val="1AAF0063"/>
    <w:rsid w:val="1BE140DE"/>
    <w:rsid w:val="20973593"/>
    <w:rsid w:val="21236807"/>
    <w:rsid w:val="21BD69B5"/>
    <w:rsid w:val="248C197D"/>
    <w:rsid w:val="24F45743"/>
    <w:rsid w:val="252959AF"/>
    <w:rsid w:val="277A6671"/>
    <w:rsid w:val="292D35B7"/>
    <w:rsid w:val="30C9346B"/>
    <w:rsid w:val="33EB6CFF"/>
    <w:rsid w:val="35A12947"/>
    <w:rsid w:val="37387040"/>
    <w:rsid w:val="3B625C0A"/>
    <w:rsid w:val="3CEE1963"/>
    <w:rsid w:val="3E4F22C8"/>
    <w:rsid w:val="436B78D3"/>
    <w:rsid w:val="464043BF"/>
    <w:rsid w:val="4C9C27FE"/>
    <w:rsid w:val="4D2854AA"/>
    <w:rsid w:val="512260B4"/>
    <w:rsid w:val="52BD6ACB"/>
    <w:rsid w:val="55537534"/>
    <w:rsid w:val="561A74F1"/>
    <w:rsid w:val="56954B00"/>
    <w:rsid w:val="597244E8"/>
    <w:rsid w:val="5EB71C30"/>
    <w:rsid w:val="66AF0CE5"/>
    <w:rsid w:val="6AC537CF"/>
    <w:rsid w:val="6E5B14A6"/>
    <w:rsid w:val="711B255E"/>
    <w:rsid w:val="76E03B76"/>
    <w:rsid w:val="7A154DD7"/>
    <w:rsid w:val="7BB51E06"/>
    <w:rsid w:val="7C1E7E92"/>
    <w:rsid w:val="7C387F7C"/>
    <w:rsid w:val="7E476B9E"/>
    <w:rsid w:val="7E7B2288"/>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a heading"/>
    <w:basedOn w:val="1"/>
    <w:next w:val="1"/>
    <w:qFormat/>
    <w:uiPriority w:val="0"/>
    <w:pPr>
      <w:spacing w:before="120" w:beforeLines="0"/>
    </w:pPr>
    <w:rPr>
      <w:rFonts w:ascii="Cambria" w:hAnsi="Cambria" w:eastAsia="宋体" w:cs="Times New Roman"/>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100</Words>
  <Characters>570</Characters>
  <Lines>4</Lines>
  <Paragraphs>1</Paragraphs>
  <TotalTime>7</TotalTime>
  <ScaleCrop>false</ScaleCrop>
  <LinksUpToDate>false</LinksUpToDate>
  <CharactersWithSpaces>669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2026-05-25T02:34:26Z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8AA6C8A789AB4EF1A827478E74C72A91</vt:lpwstr>
  </property>
</Properties>
</file>