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658804C">
      <w:pPr>
        <w:spacing w:line="560" w:lineRule="exact"/>
        <w:jc w:val="center"/>
        <w:rPr>
          <w:rFonts w:ascii="宋体" w:hAnsi="宋体" w:cs="宋体"/>
          <w:b/>
          <w:bCs/>
          <w:sz w:val="44"/>
          <w:szCs w:val="44"/>
        </w:rPr>
      </w:pPr>
    </w:p>
    <w:p w14:paraId="2BFB78AF">
      <w:pPr>
        <w:spacing w:line="560" w:lineRule="exact"/>
        <w:jc w:val="center"/>
        <w:rPr>
          <w:rFonts w:ascii="宋体" w:hAnsi="宋体" w:cs="宋体"/>
          <w:b/>
          <w:bCs/>
          <w:sz w:val="44"/>
          <w:szCs w:val="44"/>
        </w:rPr>
      </w:pPr>
      <w:r>
        <w:rPr>
          <w:rFonts w:hint="eastAsia" w:ascii="宋体" w:hAnsi="宋体" w:cs="宋体"/>
          <w:b/>
          <w:bCs/>
          <w:sz w:val="44"/>
          <w:szCs w:val="44"/>
        </w:rPr>
        <w:t>新华区委巡察办</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14:paraId="24A9D888">
      <w:pPr>
        <w:spacing w:line="560" w:lineRule="exact"/>
        <w:jc w:val="both"/>
        <w:rPr>
          <w:rFonts w:ascii="宋体" w:hAnsi="宋体" w:cs="宋体"/>
          <w:sz w:val="32"/>
          <w:szCs w:val="32"/>
        </w:rPr>
      </w:pP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sz w:val="32"/>
          <w:szCs w:val="32"/>
        </w:rPr>
        <w:t>贯彻落实区委区政府《关于全面落实预算绩效管理的实施意见》（新华发〔2019〕9号）文件精神，遵循“科学性、规范性、客观性和公正性”的原则，对中共石家庄市新华区委巡察工作领导小组办公室（以下简称“区委巡察办”）2025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56CF736">
      <w:pPr>
        <w:spacing w:line="560" w:lineRule="exact"/>
        <w:ind w:firstLine="640" w:firstLineChars="200"/>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sz w:val="32"/>
          <w:szCs w:val="32"/>
        </w:rPr>
        <w:t>1.职能情况</w:t>
      </w:r>
    </w:p>
    <w:p w14:paraId="5DEF760A">
      <w:pPr>
        <w:spacing w:line="560" w:lineRule="exact"/>
        <w:ind w:firstLine="640" w:firstLineChars="200"/>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sz w:val="32"/>
          <w:szCs w:val="32"/>
        </w:rPr>
        <w:t>区委巡察办的主要职责：一是贯彻落实党中央、省委、市委、区委和区委巡察工作领导小组的决策部署，向市委巡察工作领导小组办公室和区委巡察工作领导小组报告巡察工作情况。二是统筹、协调、指导开展巡察工作。三是承担政策研究，制度建设等工作。四是对区委、区委巡察工作领导小组决定的事项进行督办，会同巡察组对巡察整改工作进行专项检查。五是配合有关部门对巡察工作人员进行培训、考核、监督和管理。六是完成市委巡察工作领导小组办公室和区委巡察工作领导小组交办的其他任务。</w:t>
      </w:r>
    </w:p>
    <w:p w14:paraId="2AB3B37A">
      <w:pPr>
        <w:spacing w:line="560" w:lineRule="exact"/>
        <w:ind w:firstLine="640" w:firstLineChars="200"/>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sz w:val="32"/>
          <w:szCs w:val="32"/>
        </w:rPr>
        <w:t>2.组织机构及人员情况</w:t>
      </w:r>
    </w:p>
    <w:p w14:paraId="12834534">
      <w:pPr>
        <w:adjustRightInd w:val="0"/>
        <w:snapToGrid w:val="0"/>
        <w:spacing w:line="560" w:lineRule="exact"/>
        <w:ind w:firstLine="640" w:firstLineChars="200"/>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sz w:val="32"/>
          <w:szCs w:val="32"/>
        </w:rPr>
        <w:t>中共石家庄市新华区委巡察工作领导小组办公室，为区委巡察工作领导小组的日常办事机构，机构规格正科级，负责巡察的日常工作及对巡察组的监督管理、服务保障等工作。</w:t>
      </w:r>
    </w:p>
    <w:p w14:paraId="22E423AE">
      <w:pPr>
        <w:adjustRightInd w:val="0"/>
        <w:snapToGrid w:val="0"/>
        <w:spacing w:line="560" w:lineRule="exact"/>
        <w:ind w:firstLine="640" w:firstLineChars="200"/>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sz w:val="32"/>
          <w:szCs w:val="32"/>
        </w:rPr>
        <w:t>区委巡察办、巡察组共有行政编制12名。截止202</w:t>
      </w:r>
      <w:r>
        <w:rPr>
          <w:rFonts w:hint="eastAsia" w:ascii="国标仿宋-GB/T 2312" w:hAnsi="国标仿宋-GB/T 2312" w:eastAsia="国标仿宋-GB/T 2312" w:cs="国标仿宋-GB/T 2312"/>
          <w:sz w:val="32"/>
          <w:szCs w:val="32"/>
          <w:lang w:val="en-US" w:eastAsia="zh-CN"/>
        </w:rPr>
        <w:t>5</w:t>
      </w:r>
      <w:r>
        <w:rPr>
          <w:rFonts w:hint="eastAsia" w:ascii="国标仿宋-GB/T 2312" w:hAnsi="国标仿宋-GB/T 2312" w:eastAsia="国标仿宋-GB/T 2312" w:cs="国标仿宋-GB/T 2312"/>
          <w:sz w:val="32"/>
          <w:szCs w:val="32"/>
        </w:rPr>
        <w:t>年12月31日，共有人员16人，其中在职人员12名，退休人员4名。</w:t>
      </w:r>
    </w:p>
    <w:p w14:paraId="01C2111C">
      <w:pPr>
        <w:spacing w:line="560" w:lineRule="exact"/>
        <w:ind w:left="420" w:leftChars="200" w:firstLine="320" w:firstLineChars="100"/>
        <w:rPr>
          <w:rFonts w:hint="eastAsia" w:ascii="国标仿宋-GB/T 2312" w:hAnsi="国标仿宋-GB/T 2312" w:eastAsia="国标仿宋-GB/T 2312" w:cs="国标仿宋-GB/T 2312"/>
          <w:color w:val="000000"/>
          <w:sz w:val="32"/>
          <w:szCs w:val="32"/>
        </w:rPr>
      </w:pPr>
      <w:r>
        <w:rPr>
          <w:rFonts w:hint="eastAsia" w:ascii="国标仿宋-GB/T 2312" w:hAnsi="国标仿宋-GB/T 2312" w:eastAsia="国标仿宋-GB/T 2312" w:cs="国标仿宋-GB/T 2312"/>
          <w:color w:val="000000"/>
          <w:sz w:val="32"/>
          <w:szCs w:val="32"/>
        </w:rPr>
        <w:t>3.资产情况</w:t>
      </w:r>
    </w:p>
    <w:p w14:paraId="20334BBF">
      <w:pPr>
        <w:pStyle w:val="7"/>
        <w:spacing w:line="560" w:lineRule="exact"/>
        <w:ind w:firstLine="640" w:firstLineChars="200"/>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color w:val="000000"/>
          <w:sz w:val="32"/>
          <w:szCs w:val="32"/>
        </w:rPr>
        <w:t>截至202</w:t>
      </w:r>
      <w:r>
        <w:rPr>
          <w:rFonts w:hint="eastAsia" w:ascii="国标仿宋-GB/T 2312" w:hAnsi="国标仿宋-GB/T 2312" w:eastAsia="国标仿宋-GB/T 2312" w:cs="国标仿宋-GB/T 2312"/>
          <w:color w:val="000000"/>
          <w:sz w:val="32"/>
          <w:szCs w:val="32"/>
          <w:lang w:val="en-US" w:eastAsia="zh-CN"/>
        </w:rPr>
        <w:t>5</w:t>
      </w:r>
      <w:r>
        <w:rPr>
          <w:rFonts w:hint="eastAsia" w:ascii="国标仿宋-GB/T 2312" w:hAnsi="国标仿宋-GB/T 2312" w:eastAsia="国标仿宋-GB/T 2312" w:cs="国标仿宋-GB/T 2312"/>
          <w:color w:val="000000"/>
          <w:sz w:val="32"/>
          <w:szCs w:val="32"/>
        </w:rPr>
        <w:t>年12月31日，我单位资产总额3</w:t>
      </w:r>
      <w:r>
        <w:rPr>
          <w:rFonts w:hint="eastAsia" w:ascii="国标仿宋-GB/T 2312" w:hAnsi="国标仿宋-GB/T 2312" w:eastAsia="国标仿宋-GB/T 2312" w:cs="国标仿宋-GB/T 2312"/>
          <w:color w:val="000000"/>
          <w:sz w:val="32"/>
          <w:szCs w:val="32"/>
          <w:lang w:val="en-US" w:eastAsia="zh-CN"/>
        </w:rPr>
        <w:t>3.96</w:t>
      </w:r>
      <w:r>
        <w:rPr>
          <w:rFonts w:hint="eastAsia" w:ascii="国标仿宋-GB/T 2312" w:hAnsi="国标仿宋-GB/T 2312" w:eastAsia="国标仿宋-GB/T 2312" w:cs="国标仿宋-GB/T 2312"/>
          <w:color w:val="000000"/>
          <w:sz w:val="32"/>
          <w:szCs w:val="32"/>
        </w:rPr>
        <w:t>万元，其中流动资产0.13万元，固定资产</w:t>
      </w:r>
      <w:r>
        <w:rPr>
          <w:rFonts w:hint="eastAsia" w:ascii="国标仿宋-GB/T 2312" w:hAnsi="国标仿宋-GB/T 2312" w:eastAsia="国标仿宋-GB/T 2312" w:cs="国标仿宋-GB/T 2312"/>
          <w:color w:val="000000"/>
          <w:sz w:val="32"/>
          <w:szCs w:val="32"/>
          <w:lang w:val="en-US" w:eastAsia="zh-CN"/>
        </w:rPr>
        <w:t>27.05</w:t>
      </w:r>
      <w:r>
        <w:rPr>
          <w:rFonts w:hint="eastAsia" w:ascii="国标仿宋-GB/T 2312" w:hAnsi="国标仿宋-GB/T 2312" w:eastAsia="国标仿宋-GB/T 2312" w:cs="国标仿宋-GB/T 2312"/>
          <w:color w:val="000000"/>
          <w:sz w:val="32"/>
          <w:szCs w:val="32"/>
        </w:rPr>
        <w:t>万元</w:t>
      </w:r>
      <w:r>
        <w:rPr>
          <w:rFonts w:hint="eastAsia" w:ascii="国标仿宋-GB/T 2312" w:hAnsi="国标仿宋-GB/T 2312" w:eastAsia="国标仿宋-GB/T 2312" w:cs="国标仿宋-GB/T 2312"/>
          <w:color w:val="000000"/>
          <w:sz w:val="32"/>
          <w:szCs w:val="32"/>
          <w:lang w:eastAsia="zh-CN"/>
        </w:rPr>
        <w:t>，无形资产</w:t>
      </w:r>
      <w:r>
        <w:rPr>
          <w:rFonts w:hint="eastAsia" w:ascii="国标仿宋-GB/T 2312" w:hAnsi="国标仿宋-GB/T 2312" w:eastAsia="国标仿宋-GB/T 2312" w:cs="国标仿宋-GB/T 2312"/>
          <w:color w:val="000000"/>
          <w:sz w:val="32"/>
          <w:szCs w:val="32"/>
          <w:lang w:val="en-US" w:eastAsia="zh-CN"/>
        </w:rPr>
        <w:t>6.78万元</w:t>
      </w:r>
      <w:r>
        <w:rPr>
          <w:rFonts w:hint="eastAsia" w:ascii="国标仿宋-GB/T 2312" w:hAnsi="国标仿宋-GB/T 2312" w:eastAsia="国标仿宋-GB/T 2312" w:cs="国标仿宋-GB/T 2312"/>
          <w:color w:val="000000"/>
          <w:sz w:val="32"/>
          <w:szCs w:val="32"/>
        </w:rPr>
        <w:t>。固定资产中房屋及构筑物</w:t>
      </w:r>
      <w:r>
        <w:rPr>
          <w:rFonts w:hint="eastAsia" w:ascii="国标仿宋-GB/T 2312" w:hAnsi="国标仿宋-GB/T 2312" w:eastAsia="国标仿宋-GB/T 2312" w:cs="国标仿宋-GB/T 2312"/>
          <w:color w:val="000000"/>
          <w:sz w:val="32"/>
          <w:szCs w:val="32"/>
          <w:lang w:val="en-US" w:eastAsia="zh-CN"/>
        </w:rPr>
        <w:t>0.26</w:t>
      </w:r>
      <w:r>
        <w:rPr>
          <w:rFonts w:hint="eastAsia" w:ascii="国标仿宋-GB/T 2312" w:hAnsi="国标仿宋-GB/T 2312" w:eastAsia="国标仿宋-GB/T 2312" w:cs="国标仿宋-GB/T 2312"/>
          <w:color w:val="000000"/>
          <w:sz w:val="32"/>
          <w:szCs w:val="32"/>
        </w:rPr>
        <w:t>万元</w:t>
      </w:r>
      <w:r>
        <w:rPr>
          <w:rFonts w:hint="eastAsia" w:ascii="国标仿宋-GB/T 2312" w:hAnsi="国标仿宋-GB/T 2312" w:eastAsia="国标仿宋-GB/T 2312" w:cs="国标仿宋-GB/T 2312"/>
          <w:color w:val="000000"/>
          <w:sz w:val="32"/>
          <w:szCs w:val="32"/>
          <w:lang w:eastAsia="zh-CN"/>
        </w:rPr>
        <w:t>，</w:t>
      </w:r>
      <w:r>
        <w:rPr>
          <w:rFonts w:hint="eastAsia" w:ascii="国标仿宋-GB/T 2312" w:hAnsi="国标仿宋-GB/T 2312" w:eastAsia="国标仿宋-GB/T 2312" w:cs="国标仿宋-GB/T 2312"/>
          <w:color w:val="000000"/>
          <w:sz w:val="32"/>
          <w:szCs w:val="32"/>
        </w:rPr>
        <w:t>设备25.</w:t>
      </w:r>
      <w:r>
        <w:rPr>
          <w:rFonts w:hint="eastAsia" w:ascii="国标仿宋-GB/T 2312" w:hAnsi="国标仿宋-GB/T 2312" w:eastAsia="国标仿宋-GB/T 2312" w:cs="国标仿宋-GB/T 2312"/>
          <w:color w:val="000000"/>
          <w:sz w:val="32"/>
          <w:szCs w:val="32"/>
          <w:lang w:val="en-US" w:eastAsia="zh-CN"/>
        </w:rPr>
        <w:t>34</w:t>
      </w:r>
      <w:r>
        <w:rPr>
          <w:rFonts w:hint="eastAsia" w:ascii="国标仿宋-GB/T 2312" w:hAnsi="国标仿宋-GB/T 2312" w:eastAsia="国标仿宋-GB/T 2312" w:cs="国标仿宋-GB/T 2312"/>
          <w:color w:val="000000"/>
          <w:sz w:val="32"/>
          <w:szCs w:val="32"/>
        </w:rPr>
        <w:t>万元</w:t>
      </w:r>
      <w:r>
        <w:rPr>
          <w:rFonts w:hint="eastAsia" w:ascii="国标仿宋-GB/T 2312" w:hAnsi="国标仿宋-GB/T 2312" w:eastAsia="国标仿宋-GB/T 2312" w:cs="国标仿宋-GB/T 2312"/>
          <w:color w:val="000000"/>
          <w:sz w:val="32"/>
          <w:szCs w:val="32"/>
          <w:lang w:eastAsia="zh-CN"/>
        </w:rPr>
        <w:t>，</w:t>
      </w:r>
      <w:r>
        <w:rPr>
          <w:rFonts w:hint="eastAsia" w:ascii="国标仿宋-GB/T 2312" w:hAnsi="国标仿宋-GB/T 2312" w:eastAsia="国标仿宋-GB/T 2312" w:cs="国标仿宋-GB/T 2312"/>
          <w:color w:val="000000"/>
          <w:sz w:val="32"/>
          <w:szCs w:val="32"/>
        </w:rPr>
        <w:t>家具和用具1.</w:t>
      </w:r>
      <w:r>
        <w:rPr>
          <w:rFonts w:hint="eastAsia" w:ascii="国标仿宋-GB/T 2312" w:hAnsi="国标仿宋-GB/T 2312" w:eastAsia="国标仿宋-GB/T 2312" w:cs="国标仿宋-GB/T 2312"/>
          <w:color w:val="000000"/>
          <w:sz w:val="32"/>
          <w:szCs w:val="32"/>
          <w:lang w:val="en-US" w:eastAsia="zh-CN"/>
        </w:rPr>
        <w:t>45</w:t>
      </w:r>
      <w:r>
        <w:rPr>
          <w:rFonts w:hint="eastAsia" w:ascii="国标仿宋-GB/T 2312" w:hAnsi="国标仿宋-GB/T 2312" w:eastAsia="国标仿宋-GB/T 2312" w:cs="国标仿宋-GB/T 2312"/>
          <w:color w:val="000000"/>
          <w:sz w:val="32"/>
          <w:szCs w:val="32"/>
        </w:rPr>
        <w:t>万元</w:t>
      </w:r>
      <w:r>
        <w:rPr>
          <w:rFonts w:hint="eastAsia" w:ascii="国标仿宋-GB/T 2312" w:hAnsi="国标仿宋-GB/T 2312" w:eastAsia="国标仿宋-GB/T 2312" w:cs="国标仿宋-GB/T 2312"/>
          <w:color w:val="000000"/>
          <w:sz w:val="32"/>
          <w:szCs w:val="32"/>
          <w:lang w:eastAsia="zh-CN"/>
        </w:rPr>
        <w:t>；</w:t>
      </w:r>
      <w:r>
        <w:rPr>
          <w:rFonts w:hint="eastAsia" w:ascii="国标仿宋-GB/T 2312" w:hAnsi="国标仿宋-GB/T 2312" w:eastAsia="国标仿宋-GB/T 2312" w:cs="国标仿宋-GB/T 2312"/>
          <w:color w:val="000000"/>
          <w:sz w:val="32"/>
          <w:szCs w:val="32"/>
        </w:rPr>
        <w:t>无形资产</w:t>
      </w:r>
      <w:r>
        <w:rPr>
          <w:rFonts w:hint="eastAsia" w:ascii="国标仿宋-GB/T 2312" w:hAnsi="国标仿宋-GB/T 2312" w:eastAsia="国标仿宋-GB/T 2312" w:cs="国标仿宋-GB/T 2312"/>
          <w:color w:val="000000"/>
          <w:sz w:val="32"/>
          <w:szCs w:val="32"/>
          <w:lang w:eastAsia="zh-CN"/>
        </w:rPr>
        <w:t>中数据信息</w:t>
      </w:r>
      <w:r>
        <w:rPr>
          <w:rFonts w:hint="eastAsia" w:ascii="国标仿宋-GB/T 2312" w:hAnsi="国标仿宋-GB/T 2312" w:eastAsia="国标仿宋-GB/T 2312" w:cs="国标仿宋-GB/T 2312"/>
          <w:color w:val="000000"/>
          <w:sz w:val="32"/>
          <w:szCs w:val="32"/>
          <w:lang w:val="en-US" w:eastAsia="zh-CN"/>
        </w:rPr>
        <w:t>6.78</w:t>
      </w:r>
      <w:r>
        <w:rPr>
          <w:rFonts w:hint="eastAsia" w:ascii="国标仿宋-GB/T 2312" w:hAnsi="国标仿宋-GB/T 2312" w:eastAsia="国标仿宋-GB/T 2312" w:cs="国标仿宋-GB/T 2312"/>
          <w:color w:val="000000"/>
          <w:sz w:val="32"/>
          <w:szCs w:val="32"/>
        </w:rPr>
        <w:t>万元。</w:t>
      </w:r>
    </w:p>
    <w:p w14:paraId="21AC68A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2B9D240D">
      <w:pPr>
        <w:spacing w:line="560" w:lineRule="exact"/>
        <w:ind w:left="420" w:leftChars="200" w:firstLine="320" w:firstLineChars="100"/>
        <w:rPr>
          <w:rFonts w:hint="eastAsia" w:ascii="国标仿宋-GB/T 2312" w:hAnsi="国标仿宋-GB/T 2312" w:eastAsia="国标仿宋-GB/T 2312" w:cs="国标仿宋-GB/T 2312"/>
          <w:color w:val="000000"/>
          <w:sz w:val="32"/>
          <w:szCs w:val="32"/>
        </w:rPr>
      </w:pPr>
      <w:r>
        <w:rPr>
          <w:rFonts w:hint="eastAsia" w:ascii="国标仿宋-GB/T 2312" w:hAnsi="国标仿宋-GB/T 2312" w:eastAsia="国标仿宋-GB/T 2312" w:cs="国标仿宋-GB/T 2312"/>
          <w:color w:val="000000"/>
          <w:sz w:val="32"/>
          <w:szCs w:val="32"/>
        </w:rPr>
        <w:t>1.收入情况</w:t>
      </w:r>
    </w:p>
    <w:p w14:paraId="757EB049">
      <w:pPr>
        <w:pStyle w:val="7"/>
        <w:spacing w:line="560" w:lineRule="exact"/>
        <w:ind w:firstLine="640" w:firstLineChars="200"/>
        <w:rPr>
          <w:rFonts w:hint="eastAsia" w:ascii="国标仿宋-GB/T 2312" w:hAnsi="国标仿宋-GB/T 2312" w:eastAsia="国标仿宋-GB/T 2312" w:cs="国标仿宋-GB/T 2312"/>
          <w:color w:val="000000"/>
          <w:sz w:val="32"/>
          <w:szCs w:val="32"/>
        </w:rPr>
      </w:pPr>
      <w:r>
        <w:rPr>
          <w:rFonts w:hint="eastAsia" w:ascii="国标仿宋-GB/T 2312" w:hAnsi="国标仿宋-GB/T 2312" w:eastAsia="国标仿宋-GB/T 2312" w:cs="国标仿宋-GB/T 2312"/>
          <w:color w:val="000000"/>
          <w:sz w:val="32"/>
          <w:szCs w:val="32"/>
        </w:rPr>
        <w:t>202</w:t>
      </w:r>
      <w:r>
        <w:rPr>
          <w:rFonts w:hint="eastAsia" w:ascii="国标仿宋-GB/T 2312" w:hAnsi="国标仿宋-GB/T 2312" w:eastAsia="国标仿宋-GB/T 2312" w:cs="国标仿宋-GB/T 2312"/>
          <w:color w:val="000000"/>
          <w:sz w:val="32"/>
          <w:szCs w:val="32"/>
          <w:lang w:val="en-US" w:eastAsia="zh-CN"/>
        </w:rPr>
        <w:t>5</w:t>
      </w:r>
      <w:r>
        <w:rPr>
          <w:rFonts w:hint="eastAsia" w:ascii="国标仿宋-GB/T 2312" w:hAnsi="国标仿宋-GB/T 2312" w:eastAsia="国标仿宋-GB/T 2312" w:cs="国标仿宋-GB/T 2312"/>
          <w:color w:val="000000"/>
          <w:sz w:val="32"/>
          <w:szCs w:val="32"/>
        </w:rPr>
        <w:t>年部门预算收入2</w:t>
      </w:r>
      <w:r>
        <w:rPr>
          <w:rFonts w:hint="eastAsia" w:ascii="国标仿宋-GB/T 2312" w:hAnsi="国标仿宋-GB/T 2312" w:eastAsia="国标仿宋-GB/T 2312" w:cs="国标仿宋-GB/T 2312"/>
          <w:color w:val="000000"/>
          <w:sz w:val="32"/>
          <w:szCs w:val="32"/>
          <w:lang w:val="en-US" w:eastAsia="zh-CN"/>
        </w:rPr>
        <w:t>61.82</w:t>
      </w:r>
      <w:r>
        <w:rPr>
          <w:rFonts w:hint="eastAsia" w:ascii="国标仿宋-GB/T 2312" w:hAnsi="国标仿宋-GB/T 2312" w:eastAsia="国标仿宋-GB/T 2312" w:cs="国标仿宋-GB/T 2312"/>
          <w:color w:val="000000"/>
          <w:sz w:val="32"/>
          <w:szCs w:val="32"/>
        </w:rPr>
        <w:t>万元，其中基本收入</w:t>
      </w:r>
      <w:r>
        <w:rPr>
          <w:rFonts w:hint="eastAsia" w:ascii="国标仿宋-GB/T 2312" w:hAnsi="国标仿宋-GB/T 2312" w:eastAsia="国标仿宋-GB/T 2312" w:cs="国标仿宋-GB/T 2312"/>
          <w:color w:val="000000"/>
          <w:sz w:val="32"/>
          <w:szCs w:val="32"/>
          <w:lang w:val="en-US" w:eastAsia="zh-CN"/>
        </w:rPr>
        <w:t>258.82</w:t>
      </w:r>
      <w:r>
        <w:rPr>
          <w:rFonts w:hint="eastAsia" w:ascii="国标仿宋-GB/T 2312" w:hAnsi="国标仿宋-GB/T 2312" w:eastAsia="国标仿宋-GB/T 2312" w:cs="国标仿宋-GB/T 2312"/>
          <w:color w:val="000000"/>
          <w:sz w:val="32"/>
          <w:szCs w:val="32"/>
        </w:rPr>
        <w:t>万元，包括人员经费</w:t>
      </w:r>
      <w:r>
        <w:rPr>
          <w:rFonts w:hint="eastAsia" w:ascii="国标仿宋-GB/T 2312" w:hAnsi="国标仿宋-GB/T 2312" w:eastAsia="国标仿宋-GB/T 2312" w:cs="国标仿宋-GB/T 2312"/>
          <w:color w:val="000000"/>
          <w:sz w:val="32"/>
          <w:szCs w:val="32"/>
          <w:lang w:val="en-US" w:eastAsia="zh-CN"/>
        </w:rPr>
        <w:t>236.42</w:t>
      </w:r>
      <w:r>
        <w:rPr>
          <w:rFonts w:hint="eastAsia" w:ascii="国标仿宋-GB/T 2312" w:hAnsi="国标仿宋-GB/T 2312" w:eastAsia="国标仿宋-GB/T 2312" w:cs="国标仿宋-GB/T 2312"/>
          <w:color w:val="000000"/>
          <w:sz w:val="32"/>
          <w:szCs w:val="32"/>
        </w:rPr>
        <w:t>万元和日常公用经费</w:t>
      </w:r>
      <w:r>
        <w:rPr>
          <w:rFonts w:hint="eastAsia" w:ascii="国标仿宋-GB/T 2312" w:hAnsi="国标仿宋-GB/T 2312" w:eastAsia="国标仿宋-GB/T 2312" w:cs="国标仿宋-GB/T 2312"/>
          <w:color w:val="000000"/>
          <w:sz w:val="32"/>
          <w:szCs w:val="32"/>
          <w:lang w:val="en-US" w:eastAsia="zh-CN"/>
        </w:rPr>
        <w:t>22.40</w:t>
      </w:r>
      <w:r>
        <w:rPr>
          <w:rFonts w:hint="eastAsia" w:ascii="国标仿宋-GB/T 2312" w:hAnsi="国标仿宋-GB/T 2312" w:eastAsia="国标仿宋-GB/T 2312" w:cs="国标仿宋-GB/T 2312"/>
          <w:color w:val="000000"/>
          <w:sz w:val="32"/>
          <w:szCs w:val="32"/>
        </w:rPr>
        <w:t>万元；项目收入3万元，项目支出为：巡察专项经费3万元。</w:t>
      </w:r>
    </w:p>
    <w:p w14:paraId="3401F1DF">
      <w:pPr>
        <w:spacing w:line="560" w:lineRule="exact"/>
        <w:ind w:firstLine="640" w:firstLineChars="200"/>
        <w:rPr>
          <w:rFonts w:hint="eastAsia" w:ascii="国标仿宋-GB/T 2312" w:hAnsi="国标仿宋-GB/T 2312" w:eastAsia="国标仿宋-GB/T 2312" w:cs="国标仿宋-GB/T 2312"/>
          <w:color w:val="000000"/>
          <w:sz w:val="32"/>
          <w:szCs w:val="32"/>
        </w:rPr>
      </w:pPr>
      <w:r>
        <w:rPr>
          <w:rFonts w:hint="eastAsia" w:ascii="国标仿宋-GB/T 2312" w:hAnsi="国标仿宋-GB/T 2312" w:eastAsia="国标仿宋-GB/T 2312" w:cs="国标仿宋-GB/T 2312"/>
          <w:color w:val="000000"/>
          <w:sz w:val="32"/>
          <w:szCs w:val="32"/>
        </w:rPr>
        <w:t>2.支出说明</w:t>
      </w:r>
    </w:p>
    <w:p w14:paraId="3319E1AB">
      <w:pPr>
        <w:pStyle w:val="7"/>
        <w:spacing w:line="560" w:lineRule="exact"/>
        <w:ind w:firstLine="640" w:firstLineChars="200"/>
        <w:rPr>
          <w:rFonts w:hint="eastAsia" w:ascii="国标仿宋-GB/T 2312" w:hAnsi="国标仿宋-GB/T 2312" w:eastAsia="国标仿宋-GB/T 2312" w:cs="国标仿宋-GB/T 2312"/>
          <w:bCs/>
          <w:sz w:val="32"/>
          <w:szCs w:val="32"/>
        </w:rPr>
      </w:pPr>
      <w:r>
        <w:rPr>
          <w:rFonts w:hint="eastAsia" w:ascii="国标仿宋-GB/T 2312" w:hAnsi="国标仿宋-GB/T 2312" w:eastAsia="国标仿宋-GB/T 2312" w:cs="国标仿宋-GB/T 2312"/>
          <w:color w:val="000000"/>
          <w:sz w:val="32"/>
          <w:szCs w:val="32"/>
        </w:rPr>
        <w:t>202</w:t>
      </w:r>
      <w:r>
        <w:rPr>
          <w:rFonts w:hint="eastAsia" w:ascii="国标仿宋-GB/T 2312" w:hAnsi="国标仿宋-GB/T 2312" w:eastAsia="国标仿宋-GB/T 2312" w:cs="国标仿宋-GB/T 2312"/>
          <w:color w:val="000000"/>
          <w:sz w:val="32"/>
          <w:szCs w:val="32"/>
          <w:lang w:val="en-US" w:eastAsia="zh-CN"/>
        </w:rPr>
        <w:t>5</w:t>
      </w:r>
      <w:r>
        <w:rPr>
          <w:rFonts w:hint="eastAsia" w:ascii="国标仿宋-GB/T 2312" w:hAnsi="国标仿宋-GB/T 2312" w:eastAsia="国标仿宋-GB/T 2312" w:cs="国标仿宋-GB/T 2312"/>
          <w:color w:val="000000"/>
          <w:sz w:val="32"/>
          <w:szCs w:val="32"/>
        </w:rPr>
        <w:t>年部门支出合计3</w:t>
      </w:r>
      <w:r>
        <w:rPr>
          <w:rFonts w:hint="eastAsia" w:ascii="国标仿宋-GB/T 2312" w:hAnsi="国标仿宋-GB/T 2312" w:eastAsia="国标仿宋-GB/T 2312" w:cs="国标仿宋-GB/T 2312"/>
          <w:color w:val="000000"/>
          <w:sz w:val="32"/>
          <w:szCs w:val="32"/>
          <w:lang w:val="en-US" w:eastAsia="zh-CN"/>
        </w:rPr>
        <w:t>02.47</w:t>
      </w:r>
      <w:r>
        <w:rPr>
          <w:rFonts w:hint="eastAsia" w:ascii="国标仿宋-GB/T 2312" w:hAnsi="国标仿宋-GB/T 2312" w:eastAsia="国标仿宋-GB/T 2312" w:cs="国标仿宋-GB/T 2312"/>
          <w:color w:val="000000"/>
          <w:sz w:val="32"/>
          <w:szCs w:val="32"/>
        </w:rPr>
        <w:t>万元，其中：基本支出2</w:t>
      </w:r>
      <w:r>
        <w:rPr>
          <w:rFonts w:hint="eastAsia" w:ascii="国标仿宋-GB/T 2312" w:hAnsi="国标仿宋-GB/T 2312" w:eastAsia="国标仿宋-GB/T 2312" w:cs="国标仿宋-GB/T 2312"/>
          <w:color w:val="000000"/>
          <w:sz w:val="32"/>
          <w:szCs w:val="32"/>
          <w:lang w:val="en-US" w:eastAsia="zh-CN"/>
        </w:rPr>
        <w:t>78.57</w:t>
      </w:r>
      <w:r>
        <w:rPr>
          <w:rFonts w:hint="eastAsia" w:ascii="国标仿宋-GB/T 2312" w:hAnsi="国标仿宋-GB/T 2312" w:eastAsia="国标仿宋-GB/T 2312" w:cs="国标仿宋-GB/T 2312"/>
          <w:color w:val="000000"/>
          <w:sz w:val="32"/>
          <w:szCs w:val="32"/>
        </w:rPr>
        <w:t>万元，占</w:t>
      </w:r>
      <w:r>
        <w:rPr>
          <w:rFonts w:hint="eastAsia" w:ascii="国标仿宋-GB/T 2312" w:hAnsi="国标仿宋-GB/T 2312" w:eastAsia="国标仿宋-GB/T 2312" w:cs="国标仿宋-GB/T 2312"/>
          <w:color w:val="000000"/>
          <w:sz w:val="32"/>
          <w:szCs w:val="32"/>
          <w:lang w:val="en-US" w:eastAsia="zh-CN"/>
        </w:rPr>
        <w:t>92.10</w:t>
      </w:r>
      <w:r>
        <w:rPr>
          <w:rFonts w:hint="eastAsia" w:ascii="国标仿宋-GB/T 2312" w:hAnsi="国标仿宋-GB/T 2312" w:eastAsia="国标仿宋-GB/T 2312" w:cs="国标仿宋-GB/T 2312"/>
          <w:color w:val="000000"/>
          <w:sz w:val="32"/>
          <w:szCs w:val="32"/>
        </w:rPr>
        <w:t>%，包括人员经费2</w:t>
      </w:r>
      <w:r>
        <w:rPr>
          <w:rFonts w:hint="eastAsia" w:ascii="国标仿宋-GB/T 2312" w:hAnsi="国标仿宋-GB/T 2312" w:eastAsia="国标仿宋-GB/T 2312" w:cs="国标仿宋-GB/T 2312"/>
          <w:color w:val="000000"/>
          <w:sz w:val="32"/>
          <w:szCs w:val="32"/>
          <w:lang w:val="en-US" w:eastAsia="zh-CN"/>
        </w:rPr>
        <w:t>59.90</w:t>
      </w:r>
      <w:r>
        <w:rPr>
          <w:rFonts w:hint="eastAsia" w:ascii="国标仿宋-GB/T 2312" w:hAnsi="国标仿宋-GB/T 2312" w:eastAsia="国标仿宋-GB/T 2312" w:cs="国标仿宋-GB/T 2312"/>
          <w:color w:val="000000"/>
          <w:sz w:val="32"/>
          <w:szCs w:val="32"/>
        </w:rPr>
        <w:t>万元和日常公用经费</w:t>
      </w:r>
      <w:r>
        <w:rPr>
          <w:rFonts w:hint="eastAsia" w:ascii="国标仿宋-GB/T 2312" w:hAnsi="国标仿宋-GB/T 2312" w:eastAsia="国标仿宋-GB/T 2312" w:cs="国标仿宋-GB/T 2312"/>
          <w:color w:val="000000"/>
          <w:sz w:val="32"/>
          <w:szCs w:val="32"/>
          <w:lang w:val="en-US" w:eastAsia="zh-CN"/>
        </w:rPr>
        <w:t>18.67</w:t>
      </w:r>
      <w:r>
        <w:rPr>
          <w:rFonts w:hint="eastAsia" w:ascii="国标仿宋-GB/T 2312" w:hAnsi="国标仿宋-GB/T 2312" w:eastAsia="国标仿宋-GB/T 2312" w:cs="国标仿宋-GB/T 2312"/>
          <w:color w:val="000000"/>
          <w:sz w:val="32"/>
          <w:szCs w:val="32"/>
        </w:rPr>
        <w:t>万元；项目支出</w:t>
      </w:r>
      <w:r>
        <w:rPr>
          <w:rFonts w:hint="eastAsia" w:ascii="国标仿宋-GB/T 2312" w:hAnsi="国标仿宋-GB/T 2312" w:eastAsia="国标仿宋-GB/T 2312" w:cs="国标仿宋-GB/T 2312"/>
          <w:color w:val="000000"/>
          <w:sz w:val="32"/>
          <w:szCs w:val="32"/>
          <w:lang w:val="en-US" w:eastAsia="zh-CN"/>
        </w:rPr>
        <w:t>23.90</w:t>
      </w:r>
      <w:r>
        <w:rPr>
          <w:rFonts w:hint="eastAsia" w:ascii="国标仿宋-GB/T 2312" w:hAnsi="国标仿宋-GB/T 2312" w:eastAsia="国标仿宋-GB/T 2312" w:cs="国标仿宋-GB/T 2312"/>
          <w:color w:val="000000"/>
          <w:sz w:val="32"/>
          <w:szCs w:val="32"/>
        </w:rPr>
        <w:t>万元，占</w:t>
      </w:r>
      <w:r>
        <w:rPr>
          <w:rFonts w:hint="eastAsia" w:ascii="国标仿宋-GB/T 2312" w:hAnsi="国标仿宋-GB/T 2312" w:eastAsia="国标仿宋-GB/T 2312" w:cs="国标仿宋-GB/T 2312"/>
          <w:color w:val="000000"/>
          <w:sz w:val="32"/>
          <w:szCs w:val="32"/>
          <w:lang w:val="en-US" w:eastAsia="zh-CN"/>
        </w:rPr>
        <w:t>7.90</w:t>
      </w:r>
      <w:r>
        <w:rPr>
          <w:rFonts w:hint="eastAsia" w:ascii="国标仿宋-GB/T 2312" w:hAnsi="国标仿宋-GB/T 2312" w:eastAsia="国标仿宋-GB/T 2312" w:cs="国标仿宋-GB/T 2312"/>
          <w:color w:val="000000"/>
          <w:sz w:val="32"/>
          <w:szCs w:val="32"/>
        </w:rPr>
        <w:t>%；</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0665EDD">
      <w:pPr>
        <w:spacing w:line="580" w:lineRule="exact"/>
        <w:ind w:firstLine="630"/>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1、总体绩效目标</w:t>
      </w:r>
    </w:p>
    <w:p w14:paraId="796C8AD0">
      <w:pPr>
        <w:spacing w:line="580" w:lineRule="exact"/>
        <w:ind w:firstLine="630"/>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2025年，区委巡察办坚持以习近平新时代中国特色社会主义思想为指导，深入贯彻落实中央、省委、市委和区委巡视巡察工作要求，按照区委、区委巡察工作领导小组部署安排，进一步深化政治巡察、进一步加强巡察整改和成果运用、进一步加强上下联动贯通融合，推动全区巡察工作高质量发展。100%完成2025年计划组织的提级巡察、常规巡察和专项巡察，完成十届区委五年内巡察对象全覆盖2025年巡察任务。</w:t>
      </w:r>
    </w:p>
    <w:p w14:paraId="053635E3">
      <w:pPr>
        <w:tabs>
          <w:tab w:val="left" w:pos="2745"/>
        </w:tabs>
        <w:spacing w:line="540" w:lineRule="exact"/>
        <w:ind w:firstLine="630"/>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2、分项绩效目标</w:t>
      </w:r>
      <w:r>
        <w:rPr>
          <w:rFonts w:hint="eastAsia" w:ascii="国标仿宋-GB/T 2312" w:hAnsi="国标仿宋-GB/T 2312" w:eastAsia="国标仿宋-GB/T 2312" w:cs="国标仿宋-GB/T 2312"/>
          <w:sz w:val="32"/>
          <w:szCs w:val="32"/>
          <w:lang w:val="en-US" w:eastAsia="zh-CN"/>
        </w:rPr>
        <w:tab/>
      </w:r>
    </w:p>
    <w:p w14:paraId="4FFB9712">
      <w:pPr>
        <w:tabs>
          <w:tab w:val="left" w:pos="2745"/>
        </w:tabs>
        <w:spacing w:line="540" w:lineRule="exact"/>
        <w:ind w:firstLine="630"/>
        <w:rPr>
          <w:rFonts w:hint="eastAsia" w:ascii="国标仿宋-GB/T 2312" w:hAnsi="国标仿宋-GB/T 2312" w:eastAsia="国标仿宋-GB/T 2312" w:cs="国标仿宋-GB/T 2312"/>
          <w:b/>
          <w:bCs/>
          <w:sz w:val="32"/>
          <w:szCs w:val="32"/>
          <w:lang w:eastAsia="zh-CN"/>
        </w:rPr>
      </w:pPr>
      <w:r>
        <w:rPr>
          <w:rFonts w:hint="eastAsia" w:ascii="国标仿宋-GB/T 2312" w:hAnsi="国标仿宋-GB/T 2312" w:eastAsia="国标仿宋-GB/T 2312" w:cs="国标仿宋-GB/T 2312"/>
          <w:sz w:val="32"/>
          <w:szCs w:val="32"/>
          <w:lang w:val="en-US" w:eastAsia="zh-CN"/>
        </w:rPr>
        <w:t>（1）进一步深化政治巡察，促进政治监督具体化、可操作，为精准监督提供遵循。</w:t>
      </w:r>
    </w:p>
    <w:p w14:paraId="5639374F">
      <w:pPr>
        <w:spacing w:line="580" w:lineRule="exact"/>
        <w:ind w:firstLine="630"/>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绩效目标：进一步分类细化完善监督内容清单，制定个性化、本地化的监督重点内容，灵活运用常规巡察、专项巡察、机动巡察、提级巡察等开展巡察工作。</w:t>
      </w:r>
    </w:p>
    <w:p w14:paraId="3F6E9DB3">
      <w:pPr>
        <w:spacing w:line="580" w:lineRule="exact"/>
        <w:ind w:firstLine="630"/>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绩效指标：按计划完成巡察任务。</w:t>
      </w:r>
    </w:p>
    <w:p w14:paraId="21B0CF1C">
      <w:pPr>
        <w:numPr>
          <w:ilvl w:val="0"/>
          <w:numId w:val="2"/>
        </w:numPr>
        <w:spacing w:line="580" w:lineRule="exact"/>
        <w:ind w:firstLine="630"/>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进一步强化整改落实和成果运用，更加有力做好巡察“后半篇文章”。</w:t>
      </w:r>
    </w:p>
    <w:p w14:paraId="7766FFCB">
      <w:pPr>
        <w:numPr>
          <w:ilvl w:val="0"/>
          <w:numId w:val="0"/>
        </w:numPr>
        <w:spacing w:line="580" w:lineRule="exact"/>
        <w:ind w:firstLine="640" w:firstLineChars="200"/>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绩效目标：健全巡察整改工作机制，规范巡察整改工作流程，深化巡察整改监督贯通融合和成果运用，对巡察发现的共性普遍性问题，形成意见建议移交相关职能部门，完善制度机制，推动解决深层次问题。</w:t>
      </w:r>
    </w:p>
    <w:p w14:paraId="5D8B6101">
      <w:pPr>
        <w:spacing w:line="580" w:lineRule="exact"/>
        <w:ind w:firstLine="630"/>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绩效指标：制定巡察整改工作机制，积极办理巡察移交建议，使巡察工作扎实落地。</w:t>
      </w:r>
    </w:p>
    <w:p w14:paraId="6F3596C8">
      <w:pPr>
        <w:numPr>
          <w:ilvl w:val="0"/>
          <w:numId w:val="2"/>
        </w:numPr>
        <w:spacing w:line="580" w:lineRule="exact"/>
        <w:ind w:left="0" w:leftChars="0" w:firstLine="630" w:firstLineChars="0"/>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进一步深化贯通融合，发挥系统优势和综合监督作用。</w:t>
      </w:r>
    </w:p>
    <w:p w14:paraId="4190C924">
      <w:pPr>
        <w:numPr>
          <w:ilvl w:val="0"/>
          <w:numId w:val="0"/>
        </w:numPr>
        <w:spacing w:line="580" w:lineRule="exact"/>
        <w:ind w:firstLine="640" w:firstLineChars="200"/>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绩效目标：加强上下联动，推动巡察与其他监督贯通融合。推进巡察监督与纪律监督、监察监督、派驻监督贯通融合。健全完善巡察机构与组织、宣传、财政、审计等部门协作配合机制，推动相关部门的专业力量深度参与巡察，提升巡察质效。</w:t>
      </w:r>
    </w:p>
    <w:p w14:paraId="17C58AF1">
      <w:pPr>
        <w:numPr>
          <w:ilvl w:val="0"/>
          <w:numId w:val="0"/>
        </w:numPr>
        <w:spacing w:line="580" w:lineRule="exact"/>
        <w:ind w:firstLine="640" w:firstLineChars="200"/>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绩效指标：整合各类监督资源力量对整改全过程、各环节进行监督，形成系统集成、协同高效的监督体系，进一步增强监督合力。</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4F6A949">
      <w:pPr>
        <w:spacing w:line="560" w:lineRule="exact"/>
        <w:ind w:firstLine="648"/>
        <w:rPr>
          <w:rFonts w:hint="eastAsia" w:ascii="楷体" w:hAnsi="楷体" w:eastAsia="楷体" w:cs="楷体_GB2312"/>
          <w:bCs/>
          <w:sz w:val="32"/>
          <w:szCs w:val="32"/>
        </w:rPr>
      </w:pPr>
      <w:r>
        <w:rPr>
          <w:rFonts w:hint="eastAsia" w:ascii="楷体" w:hAnsi="楷体" w:eastAsia="楷体" w:cs="楷体_GB2312"/>
          <w:bCs/>
          <w:sz w:val="32"/>
          <w:szCs w:val="32"/>
        </w:rPr>
        <w:t>（一）自评的组织工作</w:t>
      </w:r>
    </w:p>
    <w:p w14:paraId="1D8FC273">
      <w:pPr>
        <w:pStyle w:val="2"/>
        <w:ind w:firstLine="648"/>
        <w:rPr>
          <w:rFonts w:hint="eastAsia" w:ascii="仿宋_GB2312" w:hAnsi="仿宋_GB2312" w:eastAsia="仿宋_GB2312" w:cs="仿宋_GB2312"/>
          <w:sz w:val="32"/>
          <w:szCs w:val="32"/>
        </w:rPr>
      </w:pPr>
      <w:r>
        <w:rPr>
          <w:rFonts w:hint="eastAsia" w:ascii="国标仿宋-GB/T 2312" w:hAnsi="国标仿宋-GB/T 2312" w:eastAsia="国标仿宋-GB/T 2312" w:cs="国标仿宋-GB/T 2312"/>
          <w:sz w:val="32"/>
          <w:szCs w:val="32"/>
        </w:rPr>
        <w:t>加强组织领导，确保自评工作顺利开展。召开专题会议，对部门项目资金全面绩效评价管理办法进行学习，准确把握绩效自评标准及要求。对列入自评的项目进行梳理。　</w:t>
      </w:r>
      <w:r>
        <w:rPr>
          <w:rFonts w:hint="eastAsia" w:ascii="方正仿宋_GBK" w:hAnsi="方正仿宋_GBK" w:eastAsia="方正仿宋_GBK" w:cs="方正仿宋_GBK"/>
          <w:sz w:val="32"/>
          <w:szCs w:val="32"/>
        </w:rPr>
        <w:t>　</w:t>
      </w:r>
    </w:p>
    <w:p w14:paraId="67C0CF88">
      <w:pPr>
        <w:numPr>
          <w:ilvl w:val="0"/>
          <w:numId w:val="3"/>
        </w:numPr>
        <w:spacing w:line="560" w:lineRule="exact"/>
        <w:rPr>
          <w:rFonts w:hint="eastAsia" w:ascii="楷体" w:hAnsi="楷体" w:eastAsia="楷体" w:cs="楷体_GB2312"/>
          <w:bCs/>
          <w:sz w:val="32"/>
          <w:szCs w:val="32"/>
        </w:rPr>
      </w:pPr>
      <w:r>
        <w:rPr>
          <w:rFonts w:hint="eastAsia" w:ascii="楷体" w:hAnsi="楷体" w:eastAsia="楷体" w:cs="楷体_GB2312"/>
          <w:bCs/>
          <w:sz w:val="32"/>
          <w:szCs w:val="32"/>
        </w:rPr>
        <w:t>自评的方法和过程</w:t>
      </w:r>
    </w:p>
    <w:p w14:paraId="49CC964D">
      <w:pPr>
        <w:pStyle w:val="2"/>
        <w:ind w:firstLine="640" w:firstLineChars="200"/>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sz w:val="32"/>
          <w:szCs w:val="32"/>
        </w:rPr>
        <w:t>1.团结协作，高效完成自评工作。收集分析相关文件资料和依据，结合项目执行情况，制定符合实际的评价指标体系。根据项目业务资料、财务资料、项目实际工作完成情况，对项目进行绩效评分。审核项目绩效自评结果，对本部门项目支出绩效自评工作进行总结，撰写绩效自评报告。</w:t>
      </w:r>
    </w:p>
    <w:p w14:paraId="404C1956">
      <w:pPr>
        <w:spacing w:line="560" w:lineRule="exact"/>
        <w:ind w:firstLine="640" w:firstLineChars="200"/>
        <w:rPr>
          <w:rFonts w:hint="eastAsia" w:ascii="国标仿宋-GB/T 2312" w:hAnsi="国标仿宋-GB/T 2312" w:eastAsia="国标仿宋-GB/T 2312" w:cs="国标仿宋-GB/T 2312"/>
          <w:bCs/>
          <w:sz w:val="32"/>
          <w:szCs w:val="32"/>
        </w:rPr>
      </w:pPr>
      <w:r>
        <w:rPr>
          <w:rFonts w:hint="eastAsia" w:ascii="国标仿宋-GB/T 2312" w:hAnsi="国标仿宋-GB/T 2312" w:eastAsia="国标仿宋-GB/T 2312" w:cs="国标仿宋-GB/T 2312"/>
          <w:sz w:val="32"/>
          <w:szCs w:val="32"/>
        </w:rPr>
        <w:t>2. 客观合理全面作出绩效自评。对202</w:t>
      </w:r>
      <w:r>
        <w:rPr>
          <w:rFonts w:hint="eastAsia" w:ascii="国标仿宋-GB/T 2312" w:hAnsi="国标仿宋-GB/T 2312" w:eastAsia="国标仿宋-GB/T 2312" w:cs="国标仿宋-GB/T 2312"/>
          <w:sz w:val="32"/>
          <w:szCs w:val="32"/>
          <w:lang w:val="en-US" w:eastAsia="zh-CN"/>
        </w:rPr>
        <w:t>5</w:t>
      </w:r>
      <w:r>
        <w:rPr>
          <w:rFonts w:hint="eastAsia" w:ascii="国标仿宋-GB/T 2312" w:hAnsi="国标仿宋-GB/T 2312" w:eastAsia="国标仿宋-GB/T 2312" w:cs="国标仿宋-GB/T 2312"/>
          <w:sz w:val="32"/>
          <w:szCs w:val="32"/>
        </w:rPr>
        <w:t>年安排项目支出，开展项目支出绩效自评，实事求是作出绩效自评，确保数据准确、分值合理、结果客观。对各项目预算执行情况、资金使用情况、组织管理情况、绩效目标完成情况进行梳理，逐个分析，客观做出绩效自评分。部门项目总体执行情况良好，各项工作按进度有序开展，资金使用安排规范。</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1A1E2B2">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rPr>
        <w:t>202</w:t>
      </w:r>
      <w:r>
        <w:rPr>
          <w:rFonts w:hint="eastAsia" w:ascii="国标仿宋-GB/T 2312" w:hAnsi="国标仿宋-GB/T 2312" w:eastAsia="国标仿宋-GB/T 2312" w:cs="国标仿宋-GB/T 2312"/>
          <w:sz w:val="32"/>
          <w:szCs w:val="32"/>
          <w:lang w:val="en-US" w:eastAsia="zh-CN"/>
        </w:rPr>
        <w:t>5</w:t>
      </w:r>
      <w:r>
        <w:rPr>
          <w:rFonts w:hint="eastAsia" w:ascii="国标仿宋-GB/T 2312" w:hAnsi="国标仿宋-GB/T 2312" w:eastAsia="国标仿宋-GB/T 2312" w:cs="国标仿宋-GB/T 2312"/>
          <w:sz w:val="32"/>
          <w:szCs w:val="32"/>
        </w:rPr>
        <w:t>年，</w:t>
      </w:r>
      <w:r>
        <w:rPr>
          <w:rFonts w:hint="eastAsia" w:ascii="国标仿宋-GB/T 2312" w:hAnsi="国标仿宋-GB/T 2312" w:eastAsia="国标仿宋-GB/T 2312" w:cs="国标仿宋-GB/T 2312"/>
          <w:sz w:val="32"/>
          <w:szCs w:val="32"/>
          <w:lang w:val="en-US" w:eastAsia="zh-CN"/>
        </w:rPr>
        <w:t>开展十届区委第八轮、第九轮巡察</w:t>
      </w:r>
      <w:r>
        <w:rPr>
          <w:rFonts w:hint="eastAsia" w:ascii="国标仿宋-GB/T 2312" w:hAnsi="国标仿宋-GB/T 2312" w:eastAsia="国标仿宋-GB/T 2312" w:cs="国标仿宋-GB/T 2312"/>
          <w:sz w:val="32"/>
          <w:szCs w:val="32"/>
          <w:lang w:eastAsia="zh-CN"/>
        </w:rPr>
        <w:t>，共</w:t>
      </w:r>
      <w:r>
        <w:rPr>
          <w:rFonts w:hint="eastAsia" w:ascii="国标仿宋-GB/T 2312" w:hAnsi="国标仿宋-GB/T 2312" w:eastAsia="国标仿宋-GB/T 2312" w:cs="国标仿宋-GB/T 2312"/>
          <w:sz w:val="32"/>
          <w:szCs w:val="32"/>
          <w:lang w:val="en-US" w:eastAsia="zh-CN"/>
        </w:rPr>
        <w:t>对22个基层党组织开展了常规巡察，对5个村改社区党组织和1个村集体经济组织开展了“三资管理”专项巡察，对1个基层党组织开展了巡察“回头看”，对校园餐“管理”、养老服务和不动产“登记难”等三个重点整治项目关联</w:t>
      </w:r>
      <w:bookmarkStart w:id="0" w:name="_GoBack"/>
      <w:bookmarkEnd w:id="0"/>
      <w:r>
        <w:rPr>
          <w:rFonts w:hint="eastAsia" w:ascii="国标仿宋-GB/T 2312" w:hAnsi="国标仿宋-GB/T 2312" w:eastAsia="国标仿宋-GB/T 2312" w:cs="国标仿宋-GB/T 2312"/>
          <w:sz w:val="32"/>
          <w:szCs w:val="32"/>
          <w:lang w:val="en-US" w:eastAsia="zh-CN"/>
        </w:rPr>
        <w:t>到的单位开展了专项巡察，</w:t>
      </w:r>
      <w:r>
        <w:rPr>
          <w:rFonts w:hint="eastAsia" w:ascii="国标仿宋-GB/T 2312" w:hAnsi="国标仿宋-GB/T 2312" w:eastAsia="国标仿宋-GB/T 2312" w:cs="国标仿宋-GB/T 2312"/>
          <w:sz w:val="32"/>
          <w:szCs w:val="32"/>
          <w:lang w:eastAsia="zh-CN"/>
        </w:rPr>
        <w:t>通过听取工作汇报、个别谈话、查阅资料、下沉走访等方式，深入查找被巡察单位在政治站位、责任</w:t>
      </w:r>
      <w:r>
        <w:rPr>
          <w:rFonts w:hint="eastAsia" w:ascii="国标仿宋-GB/T 2312" w:hAnsi="国标仿宋-GB/T 2312" w:eastAsia="国标仿宋-GB/T 2312" w:cs="国标仿宋-GB/T 2312"/>
          <w:sz w:val="32"/>
          <w:szCs w:val="32"/>
        </w:rPr>
        <w:t>落实、作风建设等方面存在的问题</w:t>
      </w:r>
      <w:r>
        <w:rPr>
          <w:rFonts w:hint="eastAsia" w:ascii="国标仿宋-GB/T 2312" w:hAnsi="国标仿宋-GB/T 2312" w:eastAsia="国标仿宋-GB/T 2312" w:cs="国标仿宋-GB/T 2312"/>
          <w:sz w:val="32"/>
          <w:szCs w:val="32"/>
          <w:lang w:eastAsia="zh-CN"/>
        </w:rPr>
        <w:t>，</w:t>
      </w:r>
      <w:r>
        <w:rPr>
          <w:rFonts w:hint="eastAsia" w:ascii="国标仿宋-GB/T 2312" w:hAnsi="国标仿宋-GB/T 2312" w:eastAsia="国标仿宋-GB/T 2312" w:cs="国标仿宋-GB/T 2312"/>
          <w:sz w:val="32"/>
          <w:szCs w:val="32"/>
          <w:lang w:val="en-US" w:eastAsia="zh-CN"/>
        </w:rPr>
        <w:t xml:space="preserve">共发现问题781条，向区纪委监委移交问题线索46条，向被巡察党组织提出意见建议77条，向区有关职能部门提出建议10条。 </w:t>
      </w:r>
    </w:p>
    <w:p w14:paraId="198AC312">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sz w:val="32"/>
          <w:szCs w:val="32"/>
        </w:rPr>
        <w:t>以“</w:t>
      </w:r>
      <w:r>
        <w:rPr>
          <w:rFonts w:hint="eastAsia" w:ascii="国标仿宋-GB/T 2312" w:hAnsi="国标仿宋-GB/T 2312" w:eastAsia="国标仿宋-GB/T 2312" w:cs="国标仿宋-GB/T 2312"/>
          <w:sz w:val="32"/>
          <w:szCs w:val="32"/>
          <w:lang w:eastAsia="zh-CN"/>
        </w:rPr>
        <w:t>规范化法治化正规化</w:t>
      </w:r>
      <w:r>
        <w:rPr>
          <w:rFonts w:hint="eastAsia" w:ascii="国标仿宋-GB/T 2312" w:hAnsi="国标仿宋-GB/T 2312" w:eastAsia="国标仿宋-GB/T 2312" w:cs="国标仿宋-GB/T 2312"/>
          <w:sz w:val="32"/>
          <w:szCs w:val="32"/>
        </w:rPr>
        <w:t>建设”为抓手，推动</w:t>
      </w:r>
      <w:r>
        <w:rPr>
          <w:rFonts w:hint="eastAsia" w:ascii="国标仿宋-GB/T 2312" w:hAnsi="国标仿宋-GB/T 2312" w:eastAsia="国标仿宋-GB/T 2312" w:cs="国标仿宋-GB/T 2312"/>
          <w:sz w:val="32"/>
          <w:szCs w:val="32"/>
          <w:lang w:eastAsia="zh-CN"/>
        </w:rPr>
        <w:t>巡察</w:t>
      </w:r>
      <w:r>
        <w:rPr>
          <w:rFonts w:hint="eastAsia" w:ascii="国标仿宋-GB/T 2312" w:hAnsi="国标仿宋-GB/T 2312" w:eastAsia="国标仿宋-GB/T 2312" w:cs="国标仿宋-GB/T 2312"/>
          <w:sz w:val="32"/>
          <w:szCs w:val="32"/>
        </w:rPr>
        <w:t>工作规范化提质</w:t>
      </w:r>
      <w:r>
        <w:rPr>
          <w:rFonts w:hint="eastAsia" w:ascii="国标仿宋-GB/T 2312" w:hAnsi="国标仿宋-GB/T 2312" w:eastAsia="国标仿宋-GB/T 2312" w:cs="国标仿宋-GB/T 2312"/>
          <w:sz w:val="32"/>
          <w:szCs w:val="32"/>
          <w:lang w:eastAsia="zh-CN"/>
        </w:rPr>
        <w:t>。一是</w:t>
      </w:r>
      <w:r>
        <w:rPr>
          <w:rFonts w:hint="eastAsia" w:ascii="国标仿宋-GB/T 2312" w:hAnsi="国标仿宋-GB/T 2312" w:eastAsia="国标仿宋-GB/T 2312" w:cs="国标仿宋-GB/T 2312"/>
          <w:sz w:val="32"/>
          <w:szCs w:val="32"/>
          <w:lang w:val="en-US" w:eastAsia="zh-CN"/>
        </w:rPr>
        <w:t>结合本区实际，制定、修订完善《关于明确党委巡察工作领导小组组成人员工作职责》等</w:t>
      </w:r>
      <w:r>
        <w:rPr>
          <w:rFonts w:hint="eastAsia" w:ascii="国标仿宋-GB/T 2312" w:hAnsi="国标仿宋-GB/T 2312" w:eastAsia="国标仿宋-GB/T 2312" w:cs="国标仿宋-GB/T 2312"/>
          <w:sz w:val="32"/>
          <w:szCs w:val="32"/>
        </w:rPr>
        <w:t>制度</w:t>
      </w:r>
      <w:r>
        <w:rPr>
          <w:rFonts w:hint="eastAsia" w:ascii="国标仿宋-GB/T 2312" w:hAnsi="国标仿宋-GB/T 2312" w:eastAsia="国标仿宋-GB/T 2312" w:cs="国标仿宋-GB/T 2312"/>
          <w:sz w:val="32"/>
          <w:szCs w:val="32"/>
          <w:lang w:val="en-US" w:eastAsia="zh-CN"/>
        </w:rPr>
        <w:t>8</w:t>
      </w:r>
      <w:r>
        <w:rPr>
          <w:rFonts w:hint="eastAsia" w:ascii="国标仿宋-GB/T 2312" w:hAnsi="国标仿宋-GB/T 2312" w:eastAsia="国标仿宋-GB/T 2312" w:cs="国标仿宋-GB/T 2312"/>
          <w:sz w:val="32"/>
          <w:szCs w:val="32"/>
        </w:rPr>
        <w:t>项，形成涵盖</w:t>
      </w:r>
      <w:r>
        <w:rPr>
          <w:rFonts w:hint="eastAsia" w:ascii="国标仿宋-GB/T 2312" w:hAnsi="国标仿宋-GB/T 2312" w:eastAsia="国标仿宋-GB/T 2312" w:cs="国标仿宋-GB/T 2312"/>
          <w:sz w:val="32"/>
          <w:szCs w:val="32"/>
          <w:lang w:eastAsia="zh-CN"/>
        </w:rPr>
        <w:t>巡察</w:t>
      </w:r>
      <w:r>
        <w:rPr>
          <w:rFonts w:hint="eastAsia" w:ascii="国标仿宋-GB/T 2312" w:hAnsi="国标仿宋-GB/T 2312" w:eastAsia="国标仿宋-GB/T 2312" w:cs="国标仿宋-GB/T 2312"/>
          <w:sz w:val="32"/>
          <w:szCs w:val="32"/>
        </w:rPr>
        <w:t>准备、实施、报告、整改、归档等全流程的制度体系。编制《</w:t>
      </w:r>
      <w:r>
        <w:rPr>
          <w:rFonts w:hint="eastAsia" w:ascii="国标仿宋-GB/T 2312" w:hAnsi="国标仿宋-GB/T 2312" w:eastAsia="国标仿宋-GB/T 2312" w:cs="国标仿宋-GB/T 2312"/>
          <w:sz w:val="32"/>
          <w:szCs w:val="32"/>
          <w:lang w:val="en-US" w:eastAsia="zh-CN"/>
        </w:rPr>
        <w:t>2025巡察工作文件汇编</w:t>
      </w:r>
      <w:r>
        <w:rPr>
          <w:rFonts w:hint="eastAsia" w:ascii="国标仿宋-GB/T 2312" w:hAnsi="国标仿宋-GB/T 2312" w:eastAsia="国标仿宋-GB/T 2312" w:cs="国标仿宋-GB/T 2312"/>
          <w:sz w:val="32"/>
          <w:szCs w:val="32"/>
        </w:rPr>
        <w:t>》，明确</w:t>
      </w:r>
      <w:r>
        <w:rPr>
          <w:rFonts w:hint="eastAsia" w:ascii="国标仿宋-GB/T 2312" w:hAnsi="国标仿宋-GB/T 2312" w:eastAsia="国标仿宋-GB/T 2312" w:cs="国标仿宋-GB/T 2312"/>
          <w:sz w:val="32"/>
          <w:szCs w:val="32"/>
          <w:lang w:eastAsia="zh-CN"/>
        </w:rPr>
        <w:t>巡察</w:t>
      </w:r>
      <w:r>
        <w:rPr>
          <w:rFonts w:hint="eastAsia" w:ascii="国标仿宋-GB/T 2312" w:hAnsi="国标仿宋-GB/T 2312" w:eastAsia="国标仿宋-GB/T 2312" w:cs="国标仿宋-GB/T 2312"/>
          <w:sz w:val="32"/>
          <w:szCs w:val="32"/>
        </w:rPr>
        <w:t>各环节的工作标准、流程规范和责任主体，让</w:t>
      </w:r>
      <w:r>
        <w:rPr>
          <w:rFonts w:hint="eastAsia" w:ascii="国标仿宋-GB/T 2312" w:hAnsi="国标仿宋-GB/T 2312" w:eastAsia="国标仿宋-GB/T 2312" w:cs="国标仿宋-GB/T 2312"/>
          <w:sz w:val="32"/>
          <w:szCs w:val="32"/>
          <w:lang w:eastAsia="zh-CN"/>
        </w:rPr>
        <w:t>巡察</w:t>
      </w:r>
      <w:r>
        <w:rPr>
          <w:rFonts w:hint="eastAsia" w:ascii="国标仿宋-GB/T 2312" w:hAnsi="国标仿宋-GB/T 2312" w:eastAsia="国标仿宋-GB/T 2312" w:cs="国标仿宋-GB/T 2312"/>
          <w:sz w:val="32"/>
          <w:szCs w:val="32"/>
        </w:rPr>
        <w:t>工作有章可循、有规可依</w:t>
      </w:r>
      <w:r>
        <w:rPr>
          <w:rFonts w:hint="eastAsia" w:ascii="国标仿宋-GB/T 2312" w:hAnsi="国标仿宋-GB/T 2312" w:eastAsia="国标仿宋-GB/T 2312" w:cs="国标仿宋-GB/T 2312"/>
          <w:sz w:val="32"/>
          <w:szCs w:val="32"/>
          <w:lang w:val="en-US" w:eastAsia="zh-CN"/>
        </w:rPr>
        <w:t>。二是推进巡察工作硬件标准化，配备专用巡察办公设备、完善信息化巡察平台功能，实现巡察数据录入、线索管理、整改跟踪等线上操作，提升工作效率。</w:t>
      </w:r>
    </w:p>
    <w:p w14:paraId="69DF938B">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根据我区《巡察整改质效评估办法》要求，联合区委组织部、区纪委监委等部门组成巡察整改质效评估组，对十届区委第三、四、五、六轮被巡察的26个区直和街道党组织进行巡察整改质效评估。</w:t>
      </w:r>
    </w:p>
    <w:p w14:paraId="4C3C691E">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sz w:val="32"/>
          <w:szCs w:val="32"/>
        </w:rPr>
        <w:t>在资金支出过程中，我单位严格遵守各项规章制度，巡察专项经费做到专款专用，按项目实施计划的进度情况进行资金分配，执行情况较好，达到了预期绩效目标。</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35799B4">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本年度</w:t>
      </w:r>
      <w:r>
        <w:rPr>
          <w:rFonts w:hint="eastAsia" w:ascii="国标仿宋-GB/T 2312" w:hAnsi="国标仿宋-GB/T 2312" w:eastAsia="国标仿宋-GB/T 2312" w:cs="国标仿宋-GB/T 2312"/>
          <w:sz w:val="32"/>
          <w:szCs w:val="32"/>
        </w:rPr>
        <w:t>绩效目标设定</w:t>
      </w:r>
      <w:r>
        <w:rPr>
          <w:rFonts w:hint="eastAsia" w:ascii="国标仿宋-GB/T 2312" w:hAnsi="国标仿宋-GB/T 2312" w:eastAsia="国标仿宋-GB/T 2312" w:cs="国标仿宋-GB/T 2312"/>
          <w:sz w:val="32"/>
          <w:szCs w:val="32"/>
          <w:lang w:val="en-US" w:eastAsia="zh-CN"/>
        </w:rPr>
        <w:t>科学合理、具体明确，与巡察工作职能高度契合，有效发挥了目标导向作用。绩效目标紧扣区委巡察工作部署，围绕政治监督、问题整改、成果运用等核心任务设定，体现了巡察工作的政治属性和监督职能。</w:t>
      </w:r>
      <w:r>
        <w:rPr>
          <w:rFonts w:hint="eastAsia" w:ascii="国标仿宋-GB/T 2312" w:hAnsi="国标仿宋-GB/T 2312" w:eastAsia="国标仿宋-GB/T 2312" w:cs="国标仿宋-GB/T 2312"/>
          <w:sz w:val="32"/>
          <w:szCs w:val="32"/>
        </w:rPr>
        <w:t>绩效标准恰当适宜、易于评价，总分设定为100分。一级指标为：产出指标40分</w:t>
      </w:r>
      <w:r>
        <w:rPr>
          <w:rFonts w:hint="eastAsia" w:ascii="国标仿宋-GB/T 2312" w:hAnsi="国标仿宋-GB/T 2312" w:eastAsia="国标仿宋-GB/T 2312" w:cs="国标仿宋-GB/T 2312"/>
          <w:sz w:val="32"/>
          <w:szCs w:val="32"/>
          <w:lang w:eastAsia="zh-CN"/>
        </w:rPr>
        <w:t>，</w:t>
      </w:r>
      <w:r>
        <w:rPr>
          <w:rFonts w:hint="eastAsia" w:ascii="国标仿宋-GB/T 2312" w:hAnsi="国标仿宋-GB/T 2312" w:eastAsia="国标仿宋-GB/T 2312" w:cs="国标仿宋-GB/T 2312"/>
          <w:sz w:val="32"/>
          <w:szCs w:val="32"/>
          <w:lang w:val="en-US" w:eastAsia="zh-CN"/>
        </w:rPr>
        <w:t>一是数量指标，本年度开展2轮常规巡察，符合年初制定的不少于2轮，得分10分；二是质量指标，巡察中能做到保障设备正产运转，</w:t>
      </w:r>
      <w:r>
        <w:rPr>
          <w:rFonts w:hint="eastAsia" w:ascii="国标仿宋-GB/T 2312" w:hAnsi="国标仿宋-GB/T 2312" w:eastAsia="国标仿宋-GB/T 2312" w:cs="国标仿宋-GB/T 2312"/>
          <w:color w:val="000000"/>
          <w:sz w:val="32"/>
          <w:szCs w:val="32"/>
          <w:highlight w:val="none"/>
          <w:lang w:val="en-US" w:eastAsia="zh-CN"/>
        </w:rPr>
        <w:t>得分10分；三是时效指标，按照巡察方案时间节点完成巡察任务，得分10分；四是成本指标，在预算成本内完成本区常规巡察</w:t>
      </w:r>
      <w:r>
        <w:rPr>
          <w:rFonts w:hint="eastAsia" w:ascii="国标仿宋-GB/T 2312" w:hAnsi="国标仿宋-GB/T 2312" w:eastAsia="国标仿宋-GB/T 2312" w:cs="国标仿宋-GB/T 2312"/>
          <w:sz w:val="32"/>
          <w:szCs w:val="32"/>
        </w:rPr>
        <w:t>期间的办公费、印刷费、工作汇报等活动产生的相关费用</w:t>
      </w:r>
      <w:r>
        <w:rPr>
          <w:rFonts w:hint="eastAsia" w:ascii="国标仿宋-GB/T 2312" w:hAnsi="国标仿宋-GB/T 2312" w:eastAsia="国标仿宋-GB/T 2312" w:cs="国标仿宋-GB/T 2312"/>
          <w:sz w:val="32"/>
          <w:szCs w:val="32"/>
          <w:lang w:eastAsia="zh-CN"/>
        </w:rPr>
        <w:t>，</w:t>
      </w:r>
      <w:r>
        <w:rPr>
          <w:rFonts w:hint="eastAsia" w:ascii="国标仿宋-GB/T 2312" w:hAnsi="国标仿宋-GB/T 2312" w:eastAsia="国标仿宋-GB/T 2312" w:cs="国标仿宋-GB/T 2312"/>
          <w:sz w:val="32"/>
          <w:szCs w:val="32"/>
          <w:lang w:val="en-US" w:eastAsia="zh-CN"/>
        </w:rPr>
        <w:t>得分10分。</w:t>
      </w:r>
      <w:r>
        <w:rPr>
          <w:rFonts w:hint="eastAsia" w:ascii="国标仿宋-GB/T 2312" w:hAnsi="国标仿宋-GB/T 2312" w:eastAsia="国标仿宋-GB/T 2312" w:cs="国标仿宋-GB/T 2312"/>
          <w:sz w:val="32"/>
          <w:szCs w:val="32"/>
        </w:rPr>
        <w:t>预算执行率指标10分</w:t>
      </w:r>
      <w:r>
        <w:rPr>
          <w:rFonts w:hint="eastAsia" w:ascii="国标仿宋-GB/T 2312" w:hAnsi="国标仿宋-GB/T 2312" w:eastAsia="国标仿宋-GB/T 2312" w:cs="国标仿宋-GB/T 2312"/>
          <w:sz w:val="32"/>
          <w:szCs w:val="32"/>
          <w:lang w:eastAsia="zh-CN"/>
        </w:rPr>
        <w:t>，</w:t>
      </w:r>
      <w:r>
        <w:rPr>
          <w:rFonts w:hint="eastAsia" w:ascii="国标仿宋-GB/T 2312" w:hAnsi="国标仿宋-GB/T 2312" w:eastAsia="国标仿宋-GB/T 2312" w:cs="国标仿宋-GB/T 2312"/>
          <w:sz w:val="32"/>
          <w:szCs w:val="32"/>
          <w:lang w:val="en-US" w:eastAsia="zh-CN"/>
        </w:rPr>
        <w:t>按时间节点执行</w:t>
      </w:r>
      <w:r>
        <w:rPr>
          <w:rFonts w:hint="eastAsia" w:ascii="国标仿宋-GB/T 2312" w:hAnsi="国标仿宋-GB/T 2312" w:eastAsia="国标仿宋-GB/T 2312" w:cs="国标仿宋-GB/T 2312"/>
          <w:sz w:val="32"/>
          <w:szCs w:val="32"/>
          <w:lang w:eastAsia="zh-CN"/>
        </w:rPr>
        <w:t>。社会</w:t>
      </w:r>
      <w:r>
        <w:rPr>
          <w:rFonts w:hint="eastAsia" w:ascii="国标仿宋-GB/T 2312" w:hAnsi="国标仿宋-GB/T 2312" w:eastAsia="国标仿宋-GB/T 2312" w:cs="国标仿宋-GB/T 2312"/>
          <w:sz w:val="32"/>
          <w:szCs w:val="32"/>
        </w:rPr>
        <w:t>效益指标</w:t>
      </w:r>
      <w:r>
        <w:rPr>
          <w:rFonts w:hint="eastAsia" w:ascii="国标仿宋-GB/T 2312" w:hAnsi="国标仿宋-GB/T 2312" w:eastAsia="国标仿宋-GB/T 2312" w:cs="国标仿宋-GB/T 2312"/>
          <w:sz w:val="32"/>
          <w:szCs w:val="32"/>
          <w:lang w:val="en-US" w:eastAsia="zh-CN"/>
        </w:rPr>
        <w:t>39</w:t>
      </w:r>
      <w:r>
        <w:rPr>
          <w:rFonts w:hint="eastAsia" w:ascii="国标仿宋-GB/T 2312" w:hAnsi="国标仿宋-GB/T 2312" w:eastAsia="国标仿宋-GB/T 2312" w:cs="国标仿宋-GB/T 2312"/>
          <w:sz w:val="32"/>
          <w:szCs w:val="32"/>
        </w:rPr>
        <w:t>分</w:t>
      </w:r>
      <w:r>
        <w:rPr>
          <w:rFonts w:hint="eastAsia" w:ascii="国标仿宋-GB/T 2312" w:hAnsi="国标仿宋-GB/T 2312" w:eastAsia="国标仿宋-GB/T 2312" w:cs="国标仿宋-GB/T 2312"/>
          <w:sz w:val="32"/>
          <w:szCs w:val="32"/>
          <w:lang w:eastAsia="zh-CN"/>
        </w:rPr>
        <w:t>，</w:t>
      </w:r>
      <w:r>
        <w:rPr>
          <w:rFonts w:hint="eastAsia" w:ascii="国标仿宋-GB/T 2312" w:hAnsi="国标仿宋-GB/T 2312" w:eastAsia="国标仿宋-GB/T 2312" w:cs="国标仿宋-GB/T 2312"/>
          <w:sz w:val="32"/>
          <w:szCs w:val="32"/>
        </w:rPr>
        <w:t>能够</w:t>
      </w:r>
      <w:r>
        <w:rPr>
          <w:rFonts w:hint="eastAsia" w:ascii="国标仿宋-GB/T 2312" w:hAnsi="国标仿宋-GB/T 2312" w:eastAsia="国标仿宋-GB/T 2312" w:cs="国标仿宋-GB/T 2312"/>
          <w:sz w:val="32"/>
          <w:szCs w:val="32"/>
          <w:lang w:eastAsia="zh-CN"/>
        </w:rPr>
        <w:t>聚焦政治监督核心定位，充分发挥巡察利剑作用与综合监督效能，以高质量巡察监督保障上级决策部署落地见效，社会效益比较显著。</w:t>
      </w:r>
      <w:r>
        <w:rPr>
          <w:rFonts w:hint="eastAsia" w:ascii="国标仿宋-GB/T 2312" w:hAnsi="国标仿宋-GB/T 2312" w:eastAsia="国标仿宋-GB/T 2312" w:cs="国标仿宋-GB/T 2312"/>
          <w:sz w:val="32"/>
          <w:szCs w:val="32"/>
        </w:rPr>
        <w:t>满意度指标10分</w:t>
      </w:r>
      <w:r>
        <w:rPr>
          <w:rFonts w:hint="eastAsia" w:ascii="国标仿宋-GB/T 2312" w:hAnsi="国标仿宋-GB/T 2312" w:eastAsia="国标仿宋-GB/T 2312" w:cs="国标仿宋-GB/T 2312"/>
          <w:sz w:val="32"/>
          <w:szCs w:val="32"/>
          <w:lang w:eastAsia="zh-CN"/>
        </w:rPr>
        <w:t>，</w:t>
      </w:r>
      <w:r>
        <w:rPr>
          <w:rFonts w:hint="eastAsia" w:ascii="国标仿宋-GB/T 2312" w:hAnsi="国标仿宋-GB/T 2312" w:eastAsia="国标仿宋-GB/T 2312" w:cs="国标仿宋-GB/T 2312"/>
          <w:sz w:val="32"/>
          <w:szCs w:val="32"/>
          <w:lang w:val="en-US" w:eastAsia="zh-CN"/>
        </w:rPr>
        <w:t>被巡单位对巡察组工作作风、问题查摆精准度的认可程度，以及巡察契合群众需求，真正解决群众急难愁盼问题。</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E023BB9">
      <w:pPr>
        <w:spacing w:line="560" w:lineRule="exact"/>
        <w:ind w:firstLine="640" w:firstLineChars="200"/>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sz w:val="32"/>
          <w:szCs w:val="32"/>
        </w:rPr>
        <w:t>本年度，区级巡察办始终坚守政治巡察定位，全面履行巡察工作主体责任，严格落实绩效目标管理要求，各项工作任务高标准推进、高质量完成。在政治监督效能发挥、巡察全覆盖推进、问题整改闭环、群众急难愁盼问题解决等方面成效显著，部门整体运行规范高效，资金使用效益突出，圆满完成年度各项绩效目标，本次区级巡察办部门整体支出综合绩效评价总得分99分。对照评价等级标准，本次评价等级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numPr>
          <w:ilvl w:val="0"/>
          <w:numId w:val="5"/>
        </w:num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存在的主要问题</w:t>
      </w:r>
    </w:p>
    <w:p w14:paraId="612FA126">
      <w:pPr>
        <w:pStyle w:val="2"/>
        <w:numPr>
          <w:ilvl w:val="0"/>
          <w:numId w:val="0"/>
        </w:numPr>
        <w:ind w:firstLine="640" w:firstLineChars="200"/>
        <w:rPr>
          <w:rFonts w:hint="eastAsia" w:ascii="国标仿宋-GB/T 2312" w:hAnsi="国标仿宋-GB/T 2312" w:eastAsia="国标仿宋-GB/T 2312" w:cs="国标仿宋-GB/T 2312"/>
          <w:sz w:val="32"/>
          <w:szCs w:val="32"/>
        </w:rPr>
      </w:pPr>
      <w:r>
        <w:rPr>
          <w:rFonts w:hint="eastAsia" w:ascii="国标仿宋-GB/T 2312" w:hAnsi="国标仿宋-GB/T 2312" w:eastAsia="国标仿宋-GB/T 2312" w:cs="国标仿宋-GB/T 2312"/>
          <w:sz w:val="32"/>
          <w:szCs w:val="32"/>
          <w:lang w:eastAsia="zh-CN"/>
        </w:rPr>
        <w:t>通</w:t>
      </w:r>
      <w:r>
        <w:rPr>
          <w:rFonts w:hint="eastAsia" w:ascii="国标仿宋-GB/T 2312" w:hAnsi="国标仿宋-GB/T 2312" w:eastAsia="国标仿宋-GB/T 2312" w:cs="国标仿宋-GB/T 2312"/>
          <w:sz w:val="32"/>
          <w:szCs w:val="32"/>
        </w:rPr>
        <w:t>过自查自评，我单位专项资金管理总体能够严格遵守财经纪律和财务制度，但在资金使用精细化、效益最大化方面仍有提升空间。具体表现为：巡察工作前期统筹谋划不够精准，对巡察任务量、物资需求的预判不够充分，导致部分办公设备采购、资料印刷等支出与实际工作需求匹配度不高，出现经费追加的情况，一定程度上影响了资金使用效率。</w:t>
      </w:r>
    </w:p>
    <w:p w14:paraId="2E4FD2EB">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57DAB05C">
      <w:pPr>
        <w:adjustRightInd w:val="0"/>
        <w:snapToGrid w:val="0"/>
        <w:spacing w:line="560" w:lineRule="exact"/>
        <w:ind w:firstLine="640" w:firstLineChars="200"/>
        <w:rPr>
          <w:rFonts w:hint="eastAsia" w:ascii="国标仿宋-GB/T 2312" w:hAnsi="国标仿宋-GB/T 2312" w:eastAsia="国标仿宋-GB/T 2312" w:cs="国标仿宋-GB/T 2312"/>
          <w:kern w:val="2"/>
          <w:sz w:val="32"/>
          <w:szCs w:val="32"/>
          <w:lang w:val="en-US" w:eastAsia="zh-CN" w:bidi="ar-SA"/>
        </w:rPr>
      </w:pPr>
      <w:r>
        <w:rPr>
          <w:rFonts w:hint="eastAsia" w:ascii="国标仿宋-GB/T 2312" w:hAnsi="国标仿宋-GB/T 2312" w:eastAsia="国标仿宋-GB/T 2312" w:cs="国标仿宋-GB/T 2312"/>
          <w:kern w:val="2"/>
          <w:sz w:val="32"/>
          <w:szCs w:val="32"/>
          <w:lang w:val="en-US" w:eastAsia="zh-CN" w:bidi="ar-SA"/>
        </w:rPr>
        <w:t>一是细化前期统筹，结合历年巡察任务动态制定详细资金使用计划，提升预算编制精准度；二是强化过程管控，严格经费审批流程，规范支出管理，减少预算偏差；三是健全长效机制，定期开展资金使用效益分析，持续提升专项资金管理水平。</w:t>
      </w:r>
    </w:p>
    <w:p w14:paraId="6586231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华文楷体">
    <w:panose1 w:val="02010600040101010101"/>
    <w:charset w:val="86"/>
    <w:family w:val="auto"/>
    <w:pitch w:val="default"/>
    <w:sig w:usb0="00000287" w:usb1="080F0000" w:usb2="00000000" w:usb3="00000000" w:csb0="0004009F" w:csb1="DFD70000"/>
  </w:font>
  <w:font w:name="国标仿宋-GB/T 2312">
    <w:panose1 w:val="02000500000000000000"/>
    <w:charset w:val="86"/>
    <w:family w:val="auto"/>
    <w:pitch w:val="default"/>
    <w:sig w:usb0="800002AF" w:usb1="08476CF8" w:usb2="0000001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2627B1"/>
    <w:multiLevelType w:val="singleLevel"/>
    <w:tmpl w:val="AC2627B1"/>
    <w:lvl w:ilvl="0" w:tentative="0">
      <w:start w:val="2"/>
      <w:numFmt w:val="decimal"/>
      <w:suff w:val="nothing"/>
      <w:lvlText w:val="（%1）"/>
      <w:lvlJc w:val="left"/>
    </w:lvl>
  </w:abstractNum>
  <w:abstractNum w:abstractNumId="1">
    <w:nsid w:val="F6EE84B9"/>
    <w:multiLevelType w:val="singleLevel"/>
    <w:tmpl w:val="F6EE84B9"/>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4">
    <w:nsid w:val="77F67438"/>
    <w:multiLevelType w:val="singleLevel"/>
    <w:tmpl w:val="77F67438"/>
    <w:lvl w:ilvl="0" w:tentative="0">
      <w:start w:val="1"/>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740D26"/>
    <w:rsid w:val="1BE140DE"/>
    <w:rsid w:val="1E542E40"/>
    <w:rsid w:val="248C197D"/>
    <w:rsid w:val="252959AF"/>
    <w:rsid w:val="277A6671"/>
    <w:rsid w:val="292D35B7"/>
    <w:rsid w:val="33EB6CFF"/>
    <w:rsid w:val="35A12947"/>
    <w:rsid w:val="37387040"/>
    <w:rsid w:val="3B625C0A"/>
    <w:rsid w:val="3CEE1963"/>
    <w:rsid w:val="436B78D3"/>
    <w:rsid w:val="4C9C27FE"/>
    <w:rsid w:val="502A44B1"/>
    <w:rsid w:val="512260B4"/>
    <w:rsid w:val="52BD6ACB"/>
    <w:rsid w:val="55537534"/>
    <w:rsid w:val="561A74F1"/>
    <w:rsid w:val="58B17416"/>
    <w:rsid w:val="597244E8"/>
    <w:rsid w:val="5EB71C30"/>
    <w:rsid w:val="5F7B7ED5"/>
    <w:rsid w:val="5FEF3695"/>
    <w:rsid w:val="66AF0CE5"/>
    <w:rsid w:val="68AC2130"/>
    <w:rsid w:val="6AC537CF"/>
    <w:rsid w:val="6E5B14A6"/>
    <w:rsid w:val="711B255E"/>
    <w:rsid w:val="7BB51E06"/>
    <w:rsid w:val="7C387F7C"/>
    <w:rsid w:val="7FE83423"/>
    <w:rsid w:val="9CDFF169"/>
    <w:rsid w:val="AFBD859C"/>
    <w:rsid w:val="BBFE6369"/>
    <w:rsid w:val="DABFB755"/>
    <w:rsid w:val="FAE3403E"/>
    <w:rsid w:val="FF7FE20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a heading"/>
    <w:basedOn w:val="1"/>
    <w:next w:val="1"/>
    <w:qFormat/>
    <w:uiPriority w:val="0"/>
    <w:pPr>
      <w:spacing w:before="120"/>
    </w:pPr>
    <w:rPr>
      <w:rFonts w:ascii="Cambria" w:hAnsi="Cambria" w:cs="Times New Roman"/>
      <w:sz w:val="24"/>
      <w:szCs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toa heading1"/>
    <w:basedOn w:val="1"/>
    <w:next w:val="1"/>
    <w:qFormat/>
    <w:uiPriority w:val="0"/>
    <w:pPr>
      <w:spacing w:before="120"/>
    </w:pPr>
    <w:rPr>
      <w:rFonts w:ascii="Cambria" w:hAnsi="Cambria" w:cs="Times New Roman"/>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Pages>
  <Words>95</Words>
  <Characters>547</Characters>
  <Lines>4</Lines>
  <Paragraphs>1</Paragraphs>
  <TotalTime>62</TotalTime>
  <ScaleCrop>false</ScaleCrop>
  <LinksUpToDate>false</LinksUpToDate>
  <CharactersWithSpaces>641</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2020-02-05T11:46:00Z</dcterms:created>
  <dc:creator>欣欣大人</dc:creator>
  <cp:lastModifiedBy>greatwall</cp:lastModifiedBy>
  <cp:lastPrinted>2026-03-04T09:23:00Z</cp:lastPrinted>
  <dcterms:modified xsi:type="dcterms:W3CDTF">2026-05-25T09:40:26Z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B89DBA2DC5AF5E886016D669BB928180_43</vt:lpwstr>
  </property>
  <property fmtid="{D5CDD505-2E9C-101B-9397-08002B2CF9AE}" pid="4" name="KSOTemplateDocerSaveRecord">
    <vt:lpwstr>eyJoZGlkIjoiMDRiNGJkYjBiMjRiNTM2Zjk5YWM2NmU3YTc2OThjMTYiLCJ1c2VySWQiOiIxMDI2NzA5MTgxIn0=</vt:lpwstr>
  </property>
</Properties>
</file>