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仿宋_GB2312" w:eastAsia="仿宋_GB2312"/>
          <w:sz w:val="32"/>
          <w:szCs w:val="32"/>
        </w:rPr>
      </w:pPr>
      <w:r>
        <w:rPr>
          <w:rFonts w:hint="eastAsia" w:ascii="仿宋_GB2312" w:eastAsia="仿宋_GB2312"/>
          <w:sz w:val="32"/>
          <w:szCs w:val="32"/>
        </w:rPr>
        <w:t>附件3</w:t>
      </w:r>
    </w:p>
    <w:p>
      <w:pPr>
        <w:spacing w:line="560" w:lineRule="exact"/>
        <w:jc w:val="center"/>
        <w:rPr>
          <w:rFonts w:ascii="宋体" w:hAnsi="宋体" w:cs="宋体"/>
          <w:b/>
          <w:bCs/>
          <w:sz w:val="44"/>
          <w:szCs w:val="44"/>
        </w:rPr>
      </w:pPr>
    </w:p>
    <w:p>
      <w:pPr>
        <w:spacing w:line="560" w:lineRule="exact"/>
        <w:jc w:val="center"/>
        <w:rPr>
          <w:rFonts w:ascii="宋体" w:hAnsi="宋体" w:cs="宋体"/>
          <w:b/>
          <w:bCs/>
          <w:sz w:val="44"/>
          <w:szCs w:val="44"/>
        </w:rPr>
      </w:pPr>
      <w:r>
        <w:rPr>
          <w:rFonts w:hint="eastAsia" w:ascii="宋体" w:hAnsi="宋体" w:cs="宋体"/>
          <w:b/>
          <w:bCs/>
          <w:sz w:val="44"/>
          <w:szCs w:val="44"/>
        </w:rPr>
        <w:t>石岗街道办事处</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贯彻落实区委区政府《关于全面落实预算绩效管理的实施意见》</w:t>
      </w:r>
      <w:r>
        <w:rPr>
          <w:rFonts w:hint="eastAsia" w:ascii="仿宋_GB2312" w:eastAsia="仿宋_GB2312"/>
          <w:sz w:val="32"/>
          <w:szCs w:val="32"/>
        </w:rPr>
        <w:t>（新华发〔2019〕9号）</w:t>
      </w:r>
      <w:r>
        <w:rPr>
          <w:rFonts w:hint="eastAsia" w:ascii="仿宋" w:hAnsi="仿宋" w:eastAsia="仿宋"/>
          <w:sz w:val="32"/>
          <w:szCs w:val="32"/>
        </w:rPr>
        <w:t>文件精神，遵循“科学性、规范性、客观性和公正性”的原则，对石岗街道办事处202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1、部门职责</w:t>
      </w:r>
    </w:p>
    <w:p>
      <w:pPr>
        <w:adjustRightInd w:val="0"/>
        <w:snapToGrid w:val="0"/>
        <w:spacing w:line="560" w:lineRule="exact"/>
        <w:ind w:firstLine="640" w:firstLineChars="200"/>
        <w:rPr>
          <w:rFonts w:ascii="仿宋" w:hAnsi="仿宋" w:eastAsia="仿宋"/>
          <w:sz w:val="32"/>
          <w:szCs w:val="32"/>
          <w:lang w:eastAsia="uk-UA"/>
        </w:rPr>
      </w:pPr>
      <w:r>
        <w:rPr>
          <w:rFonts w:hint="eastAsia" w:ascii="仿宋" w:hAnsi="仿宋" w:eastAsia="仿宋"/>
          <w:sz w:val="32"/>
          <w:szCs w:val="32"/>
        </w:rPr>
        <w:t>（1）</w:t>
      </w:r>
      <w:r>
        <w:rPr>
          <w:rFonts w:hint="eastAsia" w:ascii="仿宋" w:hAnsi="仿宋" w:eastAsia="仿宋"/>
          <w:sz w:val="32"/>
          <w:szCs w:val="32"/>
          <w:lang w:eastAsia="uk-UA"/>
        </w:rPr>
        <w:t>宣传贯彻执行党的路线方针政策和党中央、上级党组织的决议。贯彻执行法律、法规、规章和上级人民代表大会及其常务委员会决议及上级政府的决定、命令，依法管理辖区公共事务。</w:t>
      </w:r>
    </w:p>
    <w:p>
      <w:pPr>
        <w:adjustRightInd w:val="0"/>
        <w:snapToGrid w:val="0"/>
        <w:spacing w:line="560" w:lineRule="exact"/>
        <w:ind w:firstLine="640" w:firstLineChars="200"/>
        <w:rPr>
          <w:rFonts w:ascii="仿宋" w:hAnsi="仿宋" w:eastAsia="仿宋"/>
          <w:sz w:val="32"/>
          <w:szCs w:val="32"/>
          <w:lang w:eastAsia="uk-UA"/>
        </w:rPr>
      </w:pPr>
      <w:r>
        <w:rPr>
          <w:rFonts w:hint="eastAsia" w:ascii="仿宋" w:hAnsi="仿宋" w:eastAsia="仿宋"/>
          <w:sz w:val="32"/>
          <w:szCs w:val="32"/>
        </w:rPr>
        <w:t>（2）</w:t>
      </w:r>
      <w:r>
        <w:rPr>
          <w:rFonts w:hint="eastAsia" w:ascii="仿宋" w:hAnsi="仿宋" w:eastAsia="仿宋"/>
          <w:sz w:val="32"/>
          <w:szCs w:val="32"/>
          <w:lang w:eastAsia="uk-UA"/>
        </w:rPr>
        <w:t>讨论并决定本街道重大问题，统筹、协调辖区单位和组织，团结</w:t>
      </w:r>
      <w:r>
        <w:rPr>
          <w:rFonts w:hint="eastAsia" w:ascii="仿宋" w:hAnsi="仿宋" w:eastAsia="仿宋"/>
          <w:sz w:val="32"/>
          <w:szCs w:val="32"/>
        </w:rPr>
        <w:t>、</w:t>
      </w:r>
      <w:r>
        <w:rPr>
          <w:rFonts w:hint="eastAsia" w:ascii="仿宋" w:hAnsi="仿宋" w:eastAsia="仿宋"/>
          <w:sz w:val="32"/>
          <w:szCs w:val="32"/>
          <w:lang w:eastAsia="uk-UA"/>
        </w:rPr>
        <w:t>组织党内外干部和群众，抓好决策部署的组织实施和督促落实。组织实施与居民生活密切相关的公共服务，落实民政民生</w:t>
      </w:r>
      <w:r>
        <w:rPr>
          <w:rFonts w:hint="eastAsia" w:ascii="仿宋" w:hAnsi="仿宋" w:eastAsia="仿宋"/>
          <w:sz w:val="32"/>
          <w:szCs w:val="32"/>
        </w:rPr>
        <w:t>、</w:t>
      </w:r>
      <w:r>
        <w:rPr>
          <w:rFonts w:hint="eastAsia" w:ascii="仿宋" w:hAnsi="仿宋" w:eastAsia="仿宋"/>
          <w:sz w:val="32"/>
          <w:szCs w:val="32"/>
          <w:lang w:eastAsia="uk-UA"/>
        </w:rPr>
        <w:t>卫生健康、住房保障</w:t>
      </w:r>
      <w:r>
        <w:rPr>
          <w:rFonts w:hint="eastAsia" w:ascii="仿宋" w:hAnsi="仿宋" w:eastAsia="仿宋"/>
          <w:sz w:val="32"/>
          <w:szCs w:val="32"/>
        </w:rPr>
        <w:t>、</w:t>
      </w:r>
      <w:r>
        <w:rPr>
          <w:rFonts w:hint="eastAsia" w:ascii="仿宋" w:hAnsi="仿宋" w:eastAsia="仿宋"/>
          <w:sz w:val="32"/>
          <w:szCs w:val="32"/>
          <w:lang w:eastAsia="uk-UA"/>
        </w:rPr>
        <w:t>就业创业</w:t>
      </w:r>
      <w:r>
        <w:rPr>
          <w:rFonts w:hint="eastAsia" w:ascii="仿宋" w:hAnsi="仿宋" w:eastAsia="仿宋"/>
          <w:sz w:val="32"/>
          <w:szCs w:val="32"/>
        </w:rPr>
        <w:t>、</w:t>
      </w:r>
      <w:r>
        <w:rPr>
          <w:rFonts w:hint="eastAsia" w:ascii="仿宋" w:hAnsi="仿宋" w:eastAsia="仿宋"/>
          <w:sz w:val="32"/>
          <w:szCs w:val="32"/>
          <w:lang w:eastAsia="uk-UA"/>
        </w:rPr>
        <w:t>社会保障</w:t>
      </w:r>
      <w:r>
        <w:rPr>
          <w:rFonts w:hint="eastAsia" w:ascii="仿宋" w:hAnsi="仿宋" w:eastAsia="仿宋"/>
          <w:sz w:val="32"/>
          <w:szCs w:val="32"/>
        </w:rPr>
        <w:t>、</w:t>
      </w:r>
      <w:r>
        <w:rPr>
          <w:rFonts w:hint="eastAsia" w:ascii="仿宋" w:hAnsi="仿宋" w:eastAsia="仿宋"/>
          <w:sz w:val="32"/>
          <w:szCs w:val="32"/>
          <w:lang w:eastAsia="uk-UA"/>
        </w:rPr>
        <w:t>文化教育和体育事业等政策。</w:t>
      </w:r>
    </w:p>
    <w:p>
      <w:pPr>
        <w:adjustRightInd w:val="0"/>
        <w:snapToGrid w:val="0"/>
        <w:spacing w:line="560" w:lineRule="exact"/>
        <w:ind w:firstLine="640" w:firstLineChars="200"/>
        <w:rPr>
          <w:rFonts w:ascii="仿宋" w:hAnsi="仿宋" w:eastAsia="仿宋"/>
          <w:sz w:val="32"/>
          <w:szCs w:val="32"/>
          <w:lang w:eastAsia="uk-UA"/>
        </w:rPr>
      </w:pPr>
      <w:r>
        <w:rPr>
          <w:rFonts w:hint="eastAsia" w:ascii="仿宋" w:hAnsi="仿宋" w:eastAsia="仿宋"/>
          <w:sz w:val="32"/>
          <w:szCs w:val="32"/>
        </w:rPr>
        <w:t>（3）</w:t>
      </w:r>
      <w:r>
        <w:rPr>
          <w:rFonts w:hint="eastAsia" w:ascii="仿宋" w:hAnsi="仿宋" w:eastAsia="仿宋"/>
          <w:sz w:val="32"/>
          <w:szCs w:val="32"/>
          <w:lang w:eastAsia="uk-UA"/>
        </w:rPr>
        <w:t>负责办理上级人大常委会交办的监督、选举以及其他工作，做好人大代表工作，联系选民</w:t>
      </w:r>
      <w:r>
        <w:rPr>
          <w:rFonts w:hint="eastAsia" w:ascii="仿宋" w:hAnsi="仿宋" w:eastAsia="仿宋"/>
          <w:sz w:val="32"/>
          <w:szCs w:val="32"/>
        </w:rPr>
        <w:t>、</w:t>
      </w:r>
      <w:r>
        <w:rPr>
          <w:rFonts w:hint="eastAsia" w:ascii="仿宋" w:hAnsi="仿宋" w:eastAsia="仿宋"/>
          <w:sz w:val="32"/>
          <w:szCs w:val="32"/>
          <w:lang w:eastAsia="uk-UA"/>
        </w:rPr>
        <w:t>反映群众意见和要求。</w:t>
      </w:r>
    </w:p>
    <w:p>
      <w:pPr>
        <w:adjustRightInd w:val="0"/>
        <w:snapToGrid w:val="0"/>
        <w:spacing w:line="560" w:lineRule="exact"/>
        <w:ind w:firstLine="640" w:firstLineChars="200"/>
        <w:rPr>
          <w:rFonts w:ascii="仿宋" w:hAnsi="仿宋" w:eastAsia="仿宋"/>
          <w:sz w:val="32"/>
          <w:szCs w:val="32"/>
          <w:lang w:eastAsia="uk-UA"/>
        </w:rPr>
      </w:pPr>
      <w:r>
        <w:rPr>
          <w:rFonts w:hint="eastAsia" w:ascii="仿宋" w:hAnsi="仿宋" w:eastAsia="仿宋"/>
          <w:sz w:val="32"/>
          <w:szCs w:val="32"/>
        </w:rPr>
        <w:t>（4）</w:t>
      </w:r>
      <w:r>
        <w:rPr>
          <w:rFonts w:hint="eastAsia" w:ascii="仿宋" w:hAnsi="仿宋" w:eastAsia="仿宋"/>
          <w:sz w:val="32"/>
          <w:szCs w:val="32"/>
          <w:lang w:eastAsia="uk-UA"/>
        </w:rPr>
        <w:t>加强街道党工委自身建设和基层党组织建设，履行全面从严治党主体责任，建立健全党建联席会议制度，全面推进辖区党的政治建设</w:t>
      </w:r>
      <w:r>
        <w:rPr>
          <w:rFonts w:hint="eastAsia" w:ascii="仿宋" w:hAnsi="仿宋" w:eastAsia="仿宋"/>
          <w:sz w:val="32"/>
          <w:szCs w:val="32"/>
        </w:rPr>
        <w:t>、</w:t>
      </w:r>
      <w:r>
        <w:rPr>
          <w:rFonts w:hint="eastAsia" w:ascii="仿宋" w:hAnsi="仿宋" w:eastAsia="仿宋"/>
          <w:sz w:val="32"/>
          <w:szCs w:val="32"/>
          <w:lang w:eastAsia="uk-UA"/>
        </w:rPr>
        <w:t>思想建设、组织建设</w:t>
      </w:r>
      <w:r>
        <w:rPr>
          <w:rFonts w:hint="eastAsia" w:ascii="仿宋" w:hAnsi="仿宋" w:eastAsia="仿宋"/>
          <w:sz w:val="32"/>
          <w:szCs w:val="32"/>
        </w:rPr>
        <w:t>、</w:t>
      </w:r>
      <w:r>
        <w:rPr>
          <w:rFonts w:hint="eastAsia" w:ascii="仿宋" w:hAnsi="仿宋" w:eastAsia="仿宋"/>
          <w:sz w:val="32"/>
          <w:szCs w:val="32"/>
          <w:lang w:eastAsia="uk-UA"/>
        </w:rPr>
        <w:t>作风建设、纪律建设。把制度建设贯穿其中</w:t>
      </w:r>
      <w:r>
        <w:rPr>
          <w:rFonts w:hint="eastAsia" w:ascii="仿宋" w:hAnsi="仿宋" w:eastAsia="仿宋"/>
          <w:sz w:val="32"/>
          <w:szCs w:val="32"/>
        </w:rPr>
        <w:t>，</w:t>
      </w:r>
      <w:r>
        <w:rPr>
          <w:rFonts w:hint="eastAsia" w:ascii="仿宋" w:hAnsi="仿宋" w:eastAsia="仿宋"/>
          <w:sz w:val="32"/>
          <w:szCs w:val="32"/>
          <w:lang w:eastAsia="uk-UA"/>
        </w:rPr>
        <w:t>组织开展党风廉政建设和反腐败工作。</w:t>
      </w:r>
    </w:p>
    <w:p>
      <w:pPr>
        <w:adjustRightInd w:val="0"/>
        <w:snapToGrid w:val="0"/>
        <w:spacing w:line="560" w:lineRule="exact"/>
        <w:ind w:firstLine="640" w:firstLineChars="200"/>
        <w:rPr>
          <w:rFonts w:ascii="仿宋" w:hAnsi="仿宋" w:eastAsia="仿宋"/>
          <w:sz w:val="32"/>
          <w:szCs w:val="32"/>
          <w:lang w:eastAsia="uk-UA"/>
        </w:rPr>
      </w:pPr>
      <w:r>
        <w:rPr>
          <w:rFonts w:hint="eastAsia" w:ascii="仿宋" w:hAnsi="仿宋" w:eastAsia="仿宋"/>
          <w:sz w:val="32"/>
          <w:szCs w:val="32"/>
        </w:rPr>
        <w:t>（5）</w:t>
      </w:r>
      <w:r>
        <w:rPr>
          <w:rFonts w:hint="eastAsia" w:ascii="仿宋" w:hAnsi="仿宋" w:eastAsia="仿宋"/>
          <w:sz w:val="32"/>
          <w:szCs w:val="32"/>
          <w:lang w:eastAsia="uk-UA"/>
        </w:rPr>
        <w:t>街道党工委领导群团组织，加强指导和规范，支持和保证群团组织依照国家法律法规以及各自章程履行职责。坚持党管武装的根本原则和制度，协调各方力量，对街道人民武装工作实行统一领导。</w:t>
      </w:r>
    </w:p>
    <w:p>
      <w:pPr>
        <w:adjustRightInd w:val="0"/>
        <w:snapToGrid w:val="0"/>
        <w:spacing w:line="560" w:lineRule="exact"/>
        <w:ind w:firstLine="640" w:firstLineChars="200"/>
        <w:rPr>
          <w:rFonts w:ascii="仿宋" w:hAnsi="仿宋" w:eastAsia="仿宋"/>
          <w:sz w:val="32"/>
          <w:szCs w:val="32"/>
          <w:lang w:eastAsia="uk-UA"/>
        </w:rPr>
      </w:pPr>
      <w:r>
        <w:rPr>
          <w:rFonts w:hint="eastAsia" w:ascii="仿宋" w:hAnsi="仿宋" w:eastAsia="仿宋"/>
          <w:sz w:val="32"/>
          <w:szCs w:val="32"/>
        </w:rPr>
        <w:t>（6）</w:t>
      </w:r>
      <w:r>
        <w:rPr>
          <w:rFonts w:hint="eastAsia" w:ascii="仿宋" w:hAnsi="仿宋" w:eastAsia="仿宋"/>
          <w:sz w:val="32"/>
          <w:szCs w:val="32"/>
          <w:lang w:eastAsia="uk-UA"/>
        </w:rPr>
        <w:t>指导居民委员会等基层群众性自治组织建设，健全自治平台</w:t>
      </w:r>
      <w:r>
        <w:rPr>
          <w:rFonts w:hint="eastAsia" w:ascii="仿宋" w:hAnsi="仿宋" w:eastAsia="仿宋"/>
          <w:sz w:val="32"/>
          <w:szCs w:val="32"/>
        </w:rPr>
        <w:t>。</w:t>
      </w:r>
      <w:r>
        <w:rPr>
          <w:rFonts w:hint="eastAsia" w:ascii="仿宋" w:hAnsi="仿宋" w:eastAsia="仿宋"/>
          <w:sz w:val="32"/>
          <w:szCs w:val="32"/>
          <w:lang w:eastAsia="uk-UA"/>
        </w:rPr>
        <w:t>组织动员社区居民</w:t>
      </w:r>
      <w:r>
        <w:rPr>
          <w:rFonts w:hint="eastAsia" w:ascii="仿宋" w:hAnsi="仿宋" w:eastAsia="仿宋"/>
          <w:sz w:val="32"/>
          <w:szCs w:val="32"/>
        </w:rPr>
        <w:t>、</w:t>
      </w:r>
      <w:r>
        <w:rPr>
          <w:rFonts w:hint="eastAsia" w:ascii="仿宋" w:hAnsi="仿宋" w:eastAsia="仿宋"/>
          <w:sz w:val="32"/>
          <w:szCs w:val="32"/>
          <w:lang w:eastAsia="uk-UA"/>
        </w:rPr>
        <w:t>单位和社会力量参与社区治理，整合辖区内的社会力量，形成社区共治合力，为社区发展服务</w:t>
      </w:r>
      <w:r>
        <w:rPr>
          <w:rFonts w:hint="eastAsia" w:ascii="仿宋" w:hAnsi="仿宋" w:eastAsia="仿宋"/>
          <w:sz w:val="32"/>
          <w:szCs w:val="32"/>
        </w:rPr>
        <w:t>。</w:t>
      </w:r>
      <w:r>
        <w:rPr>
          <w:rFonts w:hint="eastAsia" w:ascii="仿宋" w:hAnsi="仿宋" w:eastAsia="仿宋"/>
          <w:sz w:val="32"/>
          <w:szCs w:val="32"/>
          <w:lang w:eastAsia="uk-UA"/>
        </w:rPr>
        <w:t>对社区工作者队伍进行教育管理。</w:t>
      </w:r>
    </w:p>
    <w:p>
      <w:pPr>
        <w:adjustRightInd w:val="0"/>
        <w:snapToGrid w:val="0"/>
        <w:spacing w:line="560" w:lineRule="exact"/>
        <w:ind w:firstLine="640" w:firstLineChars="200"/>
        <w:rPr>
          <w:rFonts w:ascii="仿宋" w:hAnsi="仿宋" w:eastAsia="仿宋"/>
          <w:sz w:val="32"/>
          <w:szCs w:val="32"/>
          <w:lang w:eastAsia="uk-UA"/>
        </w:rPr>
      </w:pPr>
      <w:r>
        <w:rPr>
          <w:rFonts w:hint="eastAsia" w:ascii="仿宋" w:hAnsi="仿宋" w:eastAsia="仿宋"/>
          <w:sz w:val="32"/>
          <w:szCs w:val="32"/>
        </w:rPr>
        <w:t>（7）</w:t>
      </w:r>
      <w:r>
        <w:rPr>
          <w:rFonts w:hint="eastAsia" w:ascii="仿宋" w:hAnsi="仿宋" w:eastAsia="仿宋"/>
          <w:sz w:val="32"/>
          <w:szCs w:val="32"/>
          <w:lang w:eastAsia="uk-UA"/>
        </w:rPr>
        <w:t>按照管理权限，对街道机关及所属单位干部进行教育、培训、</w:t>
      </w:r>
      <w:r>
        <w:rPr>
          <w:rFonts w:hint="eastAsia" w:ascii="仿宋" w:hAnsi="仿宋" w:eastAsia="仿宋"/>
          <w:sz w:val="32"/>
          <w:szCs w:val="32"/>
        </w:rPr>
        <w:t>选拔、</w:t>
      </w:r>
      <w:r>
        <w:rPr>
          <w:rFonts w:hint="eastAsia" w:ascii="仿宋" w:hAnsi="仿宋" w:eastAsia="仿宋"/>
          <w:sz w:val="32"/>
          <w:szCs w:val="32"/>
          <w:lang w:eastAsia="uk-UA"/>
        </w:rPr>
        <w:t>考核和监督，对上级政府职能部门派出机构的工作考核和主要负责同志任免提出意见。</w:t>
      </w:r>
    </w:p>
    <w:p>
      <w:pPr>
        <w:adjustRightInd w:val="0"/>
        <w:snapToGrid w:val="0"/>
        <w:spacing w:line="560" w:lineRule="exact"/>
        <w:ind w:firstLine="640" w:firstLineChars="200"/>
        <w:rPr>
          <w:rFonts w:ascii="仿宋" w:hAnsi="仿宋" w:eastAsia="仿宋"/>
          <w:sz w:val="32"/>
          <w:szCs w:val="32"/>
          <w:lang w:eastAsia="uk-UA"/>
        </w:rPr>
      </w:pPr>
      <w:r>
        <w:rPr>
          <w:rFonts w:hint="eastAsia" w:ascii="仿宋" w:hAnsi="仿宋" w:eastAsia="仿宋"/>
          <w:sz w:val="32"/>
          <w:szCs w:val="32"/>
        </w:rPr>
        <w:t>（8）</w:t>
      </w:r>
      <w:r>
        <w:rPr>
          <w:rFonts w:hint="eastAsia" w:ascii="仿宋" w:hAnsi="仿宋" w:eastAsia="仿宋"/>
          <w:sz w:val="32"/>
          <w:szCs w:val="32"/>
          <w:lang w:eastAsia="uk-UA"/>
        </w:rPr>
        <w:t>组织维护辖区安全稳定，协调推动社会治安综合治理，做好应急管理、民族宗教工作，承担民兵预备役、征兵、退役军人服务、拥军优属</w:t>
      </w:r>
      <w:r>
        <w:rPr>
          <w:rFonts w:hint="eastAsia" w:ascii="仿宋" w:hAnsi="仿宋" w:eastAsia="仿宋"/>
          <w:sz w:val="32"/>
          <w:szCs w:val="32"/>
        </w:rPr>
        <w:t>、</w:t>
      </w:r>
      <w:r>
        <w:rPr>
          <w:rFonts w:hint="eastAsia" w:ascii="仿宋" w:hAnsi="仿宋" w:eastAsia="仿宋"/>
          <w:sz w:val="32"/>
          <w:szCs w:val="32"/>
          <w:lang w:eastAsia="uk-UA"/>
        </w:rPr>
        <w:t>防范邪教等工作。</w:t>
      </w:r>
    </w:p>
    <w:p>
      <w:pPr>
        <w:adjustRightInd w:val="0"/>
        <w:snapToGrid w:val="0"/>
        <w:spacing w:line="560" w:lineRule="exact"/>
        <w:ind w:firstLine="640" w:firstLineChars="200"/>
        <w:rPr>
          <w:rFonts w:ascii="仿宋" w:hAnsi="仿宋" w:eastAsia="仿宋"/>
          <w:sz w:val="32"/>
          <w:szCs w:val="32"/>
          <w:lang w:eastAsia="uk-UA"/>
        </w:rPr>
      </w:pPr>
      <w:r>
        <w:rPr>
          <w:rFonts w:hint="eastAsia" w:ascii="仿宋" w:hAnsi="仿宋" w:eastAsia="仿宋"/>
          <w:sz w:val="32"/>
          <w:szCs w:val="32"/>
        </w:rPr>
        <w:t>（9）</w:t>
      </w:r>
      <w:r>
        <w:rPr>
          <w:rFonts w:hint="eastAsia" w:ascii="仿宋" w:hAnsi="仿宋" w:eastAsia="仿宋"/>
          <w:sz w:val="32"/>
          <w:szCs w:val="32"/>
          <w:lang w:eastAsia="uk-UA"/>
        </w:rPr>
        <w:t>组织开展群众性文化</w:t>
      </w:r>
      <w:r>
        <w:rPr>
          <w:rFonts w:hint="eastAsia" w:ascii="仿宋" w:hAnsi="仿宋" w:eastAsia="仿宋"/>
          <w:sz w:val="32"/>
          <w:szCs w:val="32"/>
        </w:rPr>
        <w:t>、</w:t>
      </w:r>
      <w:r>
        <w:rPr>
          <w:rFonts w:hint="eastAsia" w:ascii="仿宋" w:hAnsi="仿宋" w:eastAsia="仿宋"/>
          <w:sz w:val="32"/>
          <w:szCs w:val="32"/>
          <w:lang w:eastAsia="uk-UA"/>
        </w:rPr>
        <w:t>体育、科普活动，开展法制宣传和社会公德教育，推动社区公益事业发展。维护老年人</w:t>
      </w:r>
      <w:r>
        <w:rPr>
          <w:rFonts w:hint="eastAsia" w:ascii="仿宋" w:hAnsi="仿宋" w:eastAsia="仿宋"/>
          <w:sz w:val="32"/>
          <w:szCs w:val="32"/>
        </w:rPr>
        <w:t>、</w:t>
      </w:r>
      <w:r>
        <w:rPr>
          <w:rFonts w:hint="eastAsia" w:ascii="仿宋" w:hAnsi="仿宋" w:eastAsia="仿宋"/>
          <w:sz w:val="32"/>
          <w:szCs w:val="32"/>
          <w:lang w:eastAsia="uk-UA"/>
        </w:rPr>
        <w:t>妇女</w:t>
      </w:r>
      <w:r>
        <w:rPr>
          <w:rFonts w:hint="eastAsia" w:ascii="仿宋" w:hAnsi="仿宋" w:eastAsia="仿宋"/>
          <w:sz w:val="32"/>
          <w:szCs w:val="32"/>
        </w:rPr>
        <w:t>、</w:t>
      </w:r>
      <w:r>
        <w:rPr>
          <w:rFonts w:hint="eastAsia" w:ascii="仿宋" w:hAnsi="仿宋" w:eastAsia="仿宋"/>
          <w:sz w:val="32"/>
          <w:szCs w:val="32"/>
          <w:lang w:eastAsia="uk-UA"/>
        </w:rPr>
        <w:t>未成年人</w:t>
      </w:r>
      <w:r>
        <w:rPr>
          <w:rFonts w:hint="eastAsia" w:ascii="仿宋" w:hAnsi="仿宋" w:eastAsia="仿宋"/>
          <w:sz w:val="32"/>
          <w:szCs w:val="32"/>
        </w:rPr>
        <w:t>、</w:t>
      </w:r>
      <w:r>
        <w:rPr>
          <w:rFonts w:hint="eastAsia" w:ascii="仿宋" w:hAnsi="仿宋" w:eastAsia="仿宋"/>
          <w:sz w:val="32"/>
          <w:szCs w:val="32"/>
          <w:lang w:eastAsia="uk-UA"/>
        </w:rPr>
        <w:t>残疾人等合法权益。</w:t>
      </w:r>
    </w:p>
    <w:p>
      <w:pPr>
        <w:adjustRightInd w:val="0"/>
        <w:snapToGrid w:val="0"/>
        <w:spacing w:line="560" w:lineRule="exact"/>
        <w:ind w:firstLine="640" w:firstLineChars="200"/>
        <w:rPr>
          <w:rFonts w:ascii="仿宋" w:hAnsi="仿宋" w:eastAsia="仿宋"/>
          <w:sz w:val="32"/>
          <w:szCs w:val="32"/>
          <w:lang w:eastAsia="uk-UA"/>
        </w:rPr>
      </w:pPr>
      <w:r>
        <w:rPr>
          <w:rFonts w:hint="eastAsia" w:ascii="仿宋" w:hAnsi="仿宋" w:eastAsia="仿宋"/>
          <w:sz w:val="32"/>
          <w:szCs w:val="32"/>
        </w:rPr>
        <w:t>（10）</w:t>
      </w:r>
      <w:r>
        <w:rPr>
          <w:rFonts w:hint="eastAsia" w:ascii="仿宋" w:hAnsi="仿宋" w:eastAsia="仿宋"/>
          <w:sz w:val="32"/>
          <w:szCs w:val="32"/>
          <w:lang w:eastAsia="uk-UA"/>
        </w:rPr>
        <w:t>参与辖区设施规划</w:t>
      </w:r>
      <w:r>
        <w:rPr>
          <w:rFonts w:hint="eastAsia" w:ascii="仿宋" w:hAnsi="仿宋" w:eastAsia="仿宋"/>
          <w:sz w:val="32"/>
          <w:szCs w:val="32"/>
        </w:rPr>
        <w:t>、</w:t>
      </w:r>
      <w:r>
        <w:rPr>
          <w:rFonts w:hint="eastAsia" w:ascii="仿宋" w:hAnsi="仿宋" w:eastAsia="仿宋"/>
          <w:sz w:val="32"/>
          <w:szCs w:val="32"/>
          <w:lang w:eastAsia="uk-UA"/>
        </w:rPr>
        <w:t>建设和验收，综合管理、统筹调度和考核督办涉及辖区的公共事务，按照有关规定统筹使用下沉到街道社区的人财物等资源。</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（11）</w:t>
      </w:r>
      <w:r>
        <w:rPr>
          <w:rFonts w:hint="eastAsia" w:ascii="仿宋" w:hAnsi="仿宋" w:eastAsia="仿宋"/>
          <w:sz w:val="32"/>
          <w:szCs w:val="32"/>
          <w:lang w:eastAsia="uk-UA"/>
        </w:rPr>
        <w:t>承办上级党委</w:t>
      </w:r>
      <w:r>
        <w:rPr>
          <w:rFonts w:hint="eastAsia" w:ascii="仿宋" w:hAnsi="仿宋" w:eastAsia="仿宋"/>
          <w:sz w:val="32"/>
          <w:szCs w:val="32"/>
        </w:rPr>
        <w:t>、</w:t>
      </w:r>
      <w:r>
        <w:rPr>
          <w:rFonts w:hint="eastAsia" w:ascii="仿宋" w:hAnsi="仿宋" w:eastAsia="仿宋"/>
          <w:sz w:val="32"/>
          <w:szCs w:val="32"/>
          <w:lang w:eastAsia="uk-UA"/>
        </w:rPr>
        <w:t>人大、政府交办的其他事项。</w:t>
      </w:r>
    </w:p>
    <w:p>
      <w:pPr>
        <w:numPr>
          <w:ilvl w:val="0"/>
          <w:numId w:val="1"/>
        </w:num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组织机构</w:t>
      </w:r>
    </w:p>
    <w:p>
      <w:pPr>
        <w:adjustRightInd w:val="0"/>
        <w:snapToGrid w:val="0"/>
        <w:spacing w:line="560" w:lineRule="exact"/>
        <w:jc w:val="center"/>
        <w:rPr>
          <w:rFonts w:ascii="方正书宋_GBK" w:hAnsi="方正书宋_GBK" w:eastAsia="方正书宋_GBK" w:cs="方正书宋_GBK"/>
          <w:bCs/>
        </w:rPr>
      </w:pPr>
      <w:r>
        <w:rPr>
          <w:rFonts w:hint="eastAsia" w:ascii="方正书宋_GBK" w:hAnsi="方正书宋_GBK" w:eastAsia="方正书宋_GBK" w:cs="方正书宋_GBK"/>
          <w:bCs/>
        </w:rPr>
        <w:t>部门机构设置情况</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8"/>
              <w:rPr>
                <w:b w:val="0"/>
                <w:bCs/>
              </w:rPr>
            </w:pPr>
            <w:r>
              <w:rPr>
                <w:b w:val="0"/>
                <w:bCs/>
              </w:rPr>
              <w:t>单位名称</w:t>
            </w:r>
          </w:p>
        </w:tc>
        <w:tc>
          <w:tcPr>
            <w:tcW w:w="2464" w:type="dxa"/>
            <w:vAlign w:val="center"/>
          </w:tcPr>
          <w:p>
            <w:pPr>
              <w:pStyle w:val="8"/>
              <w:rPr>
                <w:b w:val="0"/>
                <w:bCs/>
              </w:rPr>
            </w:pPr>
            <w:r>
              <w:rPr>
                <w:b w:val="0"/>
                <w:bCs/>
              </w:rPr>
              <w:t>单位性质</w:t>
            </w:r>
          </w:p>
        </w:tc>
        <w:tc>
          <w:tcPr>
            <w:tcW w:w="2464" w:type="dxa"/>
            <w:vAlign w:val="center"/>
          </w:tcPr>
          <w:p>
            <w:pPr>
              <w:pStyle w:val="8"/>
              <w:rPr>
                <w:b w:val="0"/>
                <w:bCs/>
              </w:rPr>
            </w:pPr>
            <w:r>
              <w:rPr>
                <w:b w:val="0"/>
                <w:bCs/>
              </w:rPr>
              <w:t>单位规格</w:t>
            </w:r>
          </w:p>
        </w:tc>
        <w:tc>
          <w:tcPr>
            <w:tcW w:w="2464" w:type="dxa"/>
            <w:vAlign w:val="center"/>
          </w:tcPr>
          <w:p>
            <w:pPr>
              <w:pStyle w:val="8"/>
              <w:rPr>
                <w:b w:val="0"/>
                <w:bCs/>
              </w:rPr>
            </w:pPr>
            <w:r>
              <w:rPr>
                <w:b w:val="0"/>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9"/>
              <w:rPr>
                <w:bCs/>
              </w:rPr>
            </w:pPr>
            <w:r>
              <w:rPr>
                <w:rFonts w:hint="eastAsia"/>
                <w:bCs/>
              </w:rPr>
              <w:t>石岗</w:t>
            </w:r>
            <w:r>
              <w:rPr>
                <w:bCs/>
              </w:rPr>
              <w:t>街道办事处(本级)</w:t>
            </w:r>
          </w:p>
        </w:tc>
        <w:tc>
          <w:tcPr>
            <w:tcW w:w="2464" w:type="dxa"/>
            <w:vAlign w:val="center"/>
          </w:tcPr>
          <w:p>
            <w:pPr>
              <w:pStyle w:val="10"/>
              <w:rPr>
                <w:bCs/>
              </w:rPr>
            </w:pPr>
            <w:r>
              <w:rPr>
                <w:bCs/>
              </w:rPr>
              <w:t>行政</w:t>
            </w:r>
          </w:p>
        </w:tc>
        <w:tc>
          <w:tcPr>
            <w:tcW w:w="2464" w:type="dxa"/>
            <w:vAlign w:val="center"/>
          </w:tcPr>
          <w:p>
            <w:pPr>
              <w:pStyle w:val="10"/>
              <w:rPr>
                <w:bCs/>
              </w:rPr>
            </w:pPr>
            <w:r>
              <w:rPr>
                <w:bCs/>
              </w:rPr>
              <w:t>正科级</w:t>
            </w:r>
          </w:p>
        </w:tc>
        <w:tc>
          <w:tcPr>
            <w:tcW w:w="2464" w:type="dxa"/>
            <w:vAlign w:val="center"/>
          </w:tcPr>
          <w:p>
            <w:pPr>
              <w:pStyle w:val="10"/>
              <w:rPr>
                <w:bCs/>
              </w:rPr>
            </w:pPr>
            <w:r>
              <w:rPr>
                <w:bCs/>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9"/>
              <w:rPr>
                <w:bCs/>
              </w:rPr>
            </w:pPr>
            <w:r>
              <w:rPr>
                <w:rFonts w:hint="eastAsia"/>
                <w:bCs/>
              </w:rPr>
              <w:t>石岗</w:t>
            </w:r>
            <w:r>
              <w:rPr>
                <w:bCs/>
              </w:rPr>
              <w:t>街道办事处(事业)</w:t>
            </w:r>
          </w:p>
        </w:tc>
        <w:tc>
          <w:tcPr>
            <w:tcW w:w="2464" w:type="dxa"/>
            <w:vAlign w:val="center"/>
          </w:tcPr>
          <w:p>
            <w:pPr>
              <w:pStyle w:val="10"/>
              <w:rPr>
                <w:bCs/>
              </w:rPr>
            </w:pPr>
            <w:r>
              <w:rPr>
                <w:bCs/>
              </w:rPr>
              <w:t>事业</w:t>
            </w:r>
          </w:p>
        </w:tc>
        <w:tc>
          <w:tcPr>
            <w:tcW w:w="2464" w:type="dxa"/>
            <w:vAlign w:val="center"/>
          </w:tcPr>
          <w:p>
            <w:pPr>
              <w:pStyle w:val="10"/>
              <w:rPr>
                <w:bCs/>
              </w:rPr>
            </w:pPr>
            <w:r>
              <w:rPr>
                <w:bCs/>
              </w:rPr>
              <w:t>正科级</w:t>
            </w:r>
          </w:p>
        </w:tc>
        <w:tc>
          <w:tcPr>
            <w:tcW w:w="2464" w:type="dxa"/>
            <w:vAlign w:val="center"/>
          </w:tcPr>
          <w:p>
            <w:pPr>
              <w:pStyle w:val="10"/>
              <w:rPr>
                <w:bCs/>
              </w:rPr>
            </w:pPr>
            <w:r>
              <w:rPr>
                <w:bCs/>
              </w:rPr>
              <w:t>财政性资金基本保证</w:t>
            </w:r>
          </w:p>
        </w:tc>
      </w:tr>
    </w:tbl>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eastAsia="zh-CN"/>
        </w:rPr>
        <w:t>人员情况：我街道现有在职公务员及行政工勤</w:t>
      </w:r>
      <w:r>
        <w:rPr>
          <w:rFonts w:hint="eastAsia" w:ascii="仿宋" w:hAnsi="仿宋" w:eastAsia="仿宋"/>
          <w:sz w:val="32"/>
          <w:szCs w:val="32"/>
          <w:lang w:val="en-US" w:eastAsia="zh-CN"/>
        </w:rPr>
        <w:t>19人，全额事业29人，自收自支事业人员7人，共计55人.</w:t>
      </w:r>
    </w:p>
    <w:p>
      <w:pPr>
        <w:numPr>
          <w:ilvl w:val="0"/>
          <w:numId w:val="2"/>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snapToGrid w:val="0"/>
        <w:spacing w:line="5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lang w:val="en-US" w:eastAsia="zh-CN"/>
        </w:rPr>
        <w:t>2025</w:t>
      </w:r>
      <w:r>
        <w:rPr>
          <w:rFonts w:hint="eastAsia" w:ascii="仿宋" w:hAnsi="仿宋" w:eastAsia="仿宋"/>
          <w:color w:val="000000"/>
          <w:sz w:val="32"/>
          <w:szCs w:val="32"/>
        </w:rPr>
        <w:t>年收入为19702637.29元，本年较上年</w:t>
      </w:r>
      <w:r>
        <w:rPr>
          <w:rFonts w:hint="eastAsia" w:ascii="仿宋" w:hAnsi="仿宋" w:eastAsia="仿宋"/>
          <w:color w:val="000000"/>
          <w:sz w:val="32"/>
          <w:szCs w:val="32"/>
          <w:lang w:val="en-US" w:eastAsia="zh-CN"/>
        </w:rPr>
        <w:t>减少5632604.4</w:t>
      </w:r>
      <w:r>
        <w:rPr>
          <w:rFonts w:hint="eastAsia" w:ascii="仿宋" w:hAnsi="仿宋" w:eastAsia="仿宋"/>
          <w:color w:val="000000"/>
          <w:sz w:val="32"/>
          <w:szCs w:val="32"/>
        </w:rPr>
        <w:t>元，</w:t>
      </w:r>
      <w:r>
        <w:rPr>
          <w:rFonts w:hint="eastAsia" w:ascii="仿宋" w:hAnsi="仿宋" w:eastAsia="仿宋"/>
          <w:color w:val="000000"/>
          <w:sz w:val="32"/>
          <w:szCs w:val="32"/>
          <w:lang w:val="en-US" w:eastAsia="zh-CN"/>
        </w:rPr>
        <w:t>减少22.23</w:t>
      </w:r>
      <w:r>
        <w:rPr>
          <w:rFonts w:hint="eastAsia" w:ascii="仿宋" w:hAnsi="仿宋" w:eastAsia="仿宋"/>
          <w:color w:val="000000"/>
          <w:sz w:val="32"/>
          <w:szCs w:val="32"/>
        </w:rPr>
        <w:t>%</w:t>
      </w:r>
      <w:r>
        <w:rPr>
          <w:rFonts w:hint="eastAsia" w:ascii="仿宋" w:hAnsi="仿宋" w:eastAsia="仿宋"/>
          <w:color w:val="000000"/>
          <w:sz w:val="32"/>
          <w:szCs w:val="32"/>
          <w:lang w:eastAsia="zh-CN"/>
        </w:rPr>
        <w:t>，</w:t>
      </w:r>
      <w:r>
        <w:rPr>
          <w:rFonts w:hint="eastAsia" w:ascii="仿宋" w:hAnsi="仿宋" w:eastAsia="仿宋"/>
          <w:color w:val="000000"/>
          <w:sz w:val="32"/>
          <w:szCs w:val="32"/>
          <w:lang w:val="en-US" w:eastAsia="zh-CN"/>
        </w:rPr>
        <w:t>主要为土地补偿款收入减少</w:t>
      </w:r>
      <w:r>
        <w:rPr>
          <w:rFonts w:hint="eastAsia" w:ascii="仿宋" w:hAnsi="仿宋" w:eastAsia="仿宋"/>
          <w:color w:val="000000"/>
          <w:sz w:val="32"/>
          <w:szCs w:val="32"/>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仿宋" w:hAnsi="仿宋" w:eastAsia="仿宋"/>
          <w:sz w:val="32"/>
          <w:szCs w:val="32"/>
          <w:lang w:val="en-US" w:eastAsia="zh-CN"/>
        </w:rPr>
      </w:pPr>
      <w:r>
        <w:rPr>
          <w:rFonts w:hint="eastAsia" w:ascii="仿宋" w:hAnsi="仿宋" w:eastAsia="仿宋"/>
          <w:color w:val="000000"/>
          <w:sz w:val="32"/>
          <w:szCs w:val="32"/>
        </w:rPr>
        <w:t>202</w:t>
      </w:r>
      <w:r>
        <w:rPr>
          <w:rFonts w:hint="eastAsia" w:ascii="仿宋" w:hAnsi="仿宋" w:eastAsia="仿宋"/>
          <w:color w:val="000000"/>
          <w:sz w:val="32"/>
          <w:szCs w:val="32"/>
          <w:lang w:val="en-US" w:eastAsia="zh-CN"/>
        </w:rPr>
        <w:t>5</w:t>
      </w:r>
      <w:r>
        <w:rPr>
          <w:rFonts w:hint="eastAsia" w:ascii="仿宋" w:hAnsi="仿宋" w:eastAsia="仿宋"/>
          <w:color w:val="000000"/>
          <w:sz w:val="32"/>
          <w:szCs w:val="32"/>
        </w:rPr>
        <w:t>年支出总合计为19702637.29元</w:t>
      </w:r>
      <w:r>
        <w:rPr>
          <w:rFonts w:hint="eastAsia" w:ascii="仿宋" w:hAnsi="仿宋" w:eastAsia="仿宋"/>
          <w:color w:val="000000"/>
          <w:sz w:val="32"/>
          <w:szCs w:val="32"/>
          <w:lang w:eastAsia="zh-CN"/>
        </w:rPr>
        <w:t>，</w:t>
      </w:r>
      <w:r>
        <w:rPr>
          <w:rFonts w:hint="eastAsia" w:ascii="仿宋" w:hAnsi="仿宋" w:eastAsia="仿宋"/>
          <w:color w:val="000000"/>
          <w:sz w:val="32"/>
          <w:szCs w:val="32"/>
        </w:rPr>
        <w:t>今年较上年总支出</w:t>
      </w:r>
      <w:r>
        <w:rPr>
          <w:rFonts w:hint="eastAsia" w:ascii="仿宋" w:hAnsi="仿宋" w:eastAsia="仿宋"/>
          <w:color w:val="000000"/>
          <w:sz w:val="32"/>
          <w:szCs w:val="32"/>
          <w:lang w:val="en-US" w:eastAsia="zh-CN"/>
        </w:rPr>
        <w:t>减少5632604.4</w:t>
      </w:r>
      <w:r>
        <w:rPr>
          <w:rFonts w:hint="eastAsia" w:ascii="仿宋" w:hAnsi="仿宋" w:eastAsia="仿宋"/>
          <w:color w:val="000000"/>
          <w:sz w:val="32"/>
          <w:szCs w:val="32"/>
        </w:rPr>
        <w:t>元</w:t>
      </w:r>
      <w:r>
        <w:rPr>
          <w:rFonts w:hint="eastAsia" w:ascii="仿宋" w:hAnsi="仿宋" w:eastAsia="仿宋"/>
          <w:color w:val="000000"/>
          <w:sz w:val="32"/>
          <w:szCs w:val="32"/>
          <w:lang w:eastAsia="zh-CN"/>
        </w:rPr>
        <w:t>，</w:t>
      </w:r>
      <w:r>
        <w:rPr>
          <w:rFonts w:hint="eastAsia" w:ascii="仿宋" w:hAnsi="仿宋" w:eastAsia="仿宋"/>
          <w:color w:val="000000"/>
          <w:sz w:val="32"/>
          <w:szCs w:val="32"/>
          <w:lang w:val="en-US" w:eastAsia="zh-CN"/>
        </w:rPr>
        <w:t>减少22.23</w:t>
      </w:r>
      <w:r>
        <w:rPr>
          <w:rFonts w:hint="eastAsia" w:ascii="仿宋" w:hAnsi="仿宋" w:eastAsia="仿宋"/>
          <w:color w:val="000000"/>
          <w:sz w:val="32"/>
          <w:szCs w:val="32"/>
        </w:rPr>
        <w:t>%</w:t>
      </w:r>
      <w:r>
        <w:rPr>
          <w:rFonts w:hint="eastAsia" w:ascii="仿宋" w:hAnsi="仿宋" w:eastAsia="仿宋"/>
          <w:color w:val="000000"/>
          <w:sz w:val="32"/>
          <w:szCs w:val="32"/>
          <w:lang w:eastAsia="zh-CN"/>
        </w:rPr>
        <w:t>，</w:t>
      </w:r>
      <w:r>
        <w:rPr>
          <w:rFonts w:hint="eastAsia" w:ascii="仿宋" w:hAnsi="仿宋" w:eastAsia="仿宋"/>
          <w:color w:val="000000"/>
          <w:sz w:val="32"/>
          <w:szCs w:val="32"/>
          <w:lang w:val="en-US" w:eastAsia="zh-CN"/>
        </w:rPr>
        <w:t>主要为土地补偿款支出减少</w:t>
      </w:r>
      <w:r>
        <w:rPr>
          <w:rFonts w:hint="eastAsia" w:ascii="仿宋" w:hAnsi="仿宋" w:eastAsia="仿宋"/>
          <w:color w:val="000000"/>
          <w:sz w:val="32"/>
          <w:szCs w:val="32"/>
        </w:rPr>
        <w:t>。</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w:t>
      </w:r>
      <w:r>
        <w:rPr>
          <w:rFonts w:hint="eastAsia" w:ascii="楷体" w:hAnsi="楷体" w:eastAsia="楷体" w:cs="楷体_GB2312"/>
          <w:bCs/>
          <w:sz w:val="32"/>
          <w:szCs w:val="32"/>
          <w:lang w:eastAsia="zh-CN"/>
        </w:rPr>
        <w:t>三</w:t>
      </w:r>
      <w:r>
        <w:rPr>
          <w:rFonts w:hint="eastAsia" w:ascii="楷体" w:hAnsi="楷体" w:eastAsia="楷体" w:cs="楷体_GB2312"/>
          <w:bCs/>
          <w:sz w:val="32"/>
          <w:szCs w:val="32"/>
        </w:rPr>
        <w:t>）部门整体支出绩效目标、指标</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1、总体绩效目标</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(1)凝聚力量，扎实做好常态化疫情防控</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街道坚持立足于“早”、落实于“细”、关键在“防”的疫情防控工作要求，毫不放松抓牢抓实防疫各项工作。一是凝聚合力。二是筑牢防线。三是保障物资。四是疫苗接种。</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(2)创新特色，全力提升党建品牌形象</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一是坚持把党史学习教育作为践行初心使命、激发干部活力的重要载体来抓，围绕帮助群众解决急难愁盼问题，扎实办好民生实事。二是持续把“红色物业”、“红色社区社会组织”、“红色联盟”、“红色管家”等作为创新基层治理的有效载体和重要抓手，进一步提升基层治理能力。三是创新党建载体，优化社区服务，进一步提升群众获得感和幸福感。</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(3)探索渠道，大力推进街道经济可持续发展</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一是经济指标稳中有进。二是项目招商有序进行。三是优化良好营商环境。</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(4)聚焦百姓，保障民生事业不断进步</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 xml:space="preserve">街道始终坚持以人民为中心的发展思想，全力以赴推进各项事业发展。一是全力保障民生事业做好民生服务。二是提升城区精细化管理水平。三是进一步巩固平安和谐稳定局面。 </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(5)强化队伍，确保自身建设提质提效</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街道党工委始终坚持将全面加强党的建设作为首要职责，奋力推进党的建设水平全面进步、全面过硬。一是突出抓好党建责任落实。二是按照全面从严治党“四责协同”机制，强化责任意识。三是坚持正确的选人用人导向。四是坚持理论中心组学习制度。</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2、分项绩效目标</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（1）党政办公室</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绩效目标：负责机关日常工作的综合协调和督促检查；负责机关文电、值班、会务、机要、保密、档案、党务政务公开、对外联络、后勤保障等日常运转工作；负责机关和所属单位财务及国有资产管理等工作；负责监督检查和指导所属单位和行政村的档案工作。</w:t>
      </w:r>
      <w:r>
        <w:rPr>
          <w:rFonts w:hint="eastAsia" w:ascii="仿宋" w:hAnsi="仿宋" w:eastAsia="仿宋"/>
          <w:color w:val="000000"/>
          <w:sz w:val="32"/>
          <w:szCs w:val="32"/>
        </w:rPr>
        <w:tab/>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绩效指标：完成率、及时率、项目预算控制数、人员覆盖率、长期使用性、服务对象满意度</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（2）党建工作办公室(挂人大街道工委办公室牌子)</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绩效目标：负责基层党的政治建设、组织建设、思想建设、宣传工作、意识形态、精神文明建设、统战工作、民族宗教事务、党管武装、组织人事等工作，统筹推进区域化党建工作，领导辖区内人大工作，以及工会、共青团、妇联等群团工作。</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绩效指标：完成率、组织活动数量、学习覆盖率、人员覆盖率、长期使用性、服务对象满意度</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（3）社会治理和应急管理办公室（挂综合指挥和信息化网络中心牌子）</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绩效目标：负责社会治安综合治理、法制宣传教育、信访工作，调解各类纠纷；负责加强群防群治组织建设，做好防范邪教工作；会同司法部门开展社区矫正、社区戒毒、社区康复、刑满释放人员安置帮教等工作；负责做好未成年人保护工作；负责应急管理工作，落实应急管理责任，制定突发事件应急预案，组织开展应急演练；负责消防、防汛抗洪、抗旱、防灾减灾等相关工作；负责生产经营单位安全生产状况的监督检查，协助上级有关部门依法履行安全生产监督管理职责；负责自然灾害救助、护林和森林草原防火相关工作；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绩效指标：完成率、及时率、接访率、项目预算控制数、长期使用性、服务对象满意度</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（4）自然资源和生态环境办公室（挂农业综合服务中心牌子）</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绩效目标：负责自然资源保护和监管、人居环境改善、土地调查、村镇规划建设、基本农田保护管理等工作；负责大气、水、土壤污染防治，水资源保护、水环境治理、节约用水等工作；负责禁止露天焚烧秸秆、“散乱污”企业综合整治工作。</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绩效指标：工作完成率、项目预算控制数、服务范围覆盖率、群众满意度、服务对象满意度</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（5）社区建设和物业监督管理办公室</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绩效目标：负责指导基层自治和居民区建设工作，负责指导居（村）民委员会建立健全各项自治制度，指导居（村）民委员会的换届选举;负责社区工作者的日常管理工作；指导基层开展社区社会工作实践，收集、反映社情民意；负责调解物业管理纠纷，指导业委会开展工作；负责爱国卫生日常工作；负责领导辖区传染病防治、健康教育、精神障碍患者康复工作；负责人口与计划生育工作；负责就业服务、社会救助、残疾人保障工作；开展居家养老服务等工作。</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绩效指标：工作完成率、政策宣传覆盖率、计划生育家庭奖励扶助政策覆盖率、长期使用性、家庭发展能力、服务对象满意度</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（6）综合行政执法队</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绩效目标：根据有关法律法规和上级部门授权、委托，承担城乡建设、生态环境、文化市场、农业农村、安全生产、民族宗教等领域行政执法工作；负责全民义务植树、古树名木保护、园林绿化等工作。</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绩效指标：工作完成率、项目预算控制数、服务范围覆盖率、群众满意度、服务对象满意度</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（7）行政综合服务中心</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绩效目标：负责行政审批服务事项的受理、办理工作，提供政策和业务咨询；指导社区（村）便民服务点建设；负责开展群众文化艺术娱乐、体育活动；负责文化市场监督、巡查工作；负责文物普查、保护和开发利用工作；指导社区（村）文化室建设、文体设施规划建设。</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绩效指标：工作完成率、项目预算控制数、服务范围覆盖率、群众满意度、服务对象满意度</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（8）退役军人服务站</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绩效目标：负责退役军人就业创业扶持、拥军优属、优抚帮扶、走访慰问、信访接待、权益保障等工作；配合武装部做好征兵、民兵、预备役、国防教育、国民经济动员、人民防空、国防交通、国防设施保护等相关工作。</w:t>
      </w:r>
    </w:p>
    <w:p>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绩效指标：工作完成率、项目预算控制数、退役军人信息覆盖率、政策宣传普及率、服务对象满意度</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ind w:firstLine="642"/>
        <w:rPr>
          <w:rFonts w:ascii="楷体" w:hAnsi="楷体" w:eastAsia="楷体" w:cs="楷体_GB2312"/>
          <w:bCs/>
          <w:sz w:val="32"/>
          <w:szCs w:val="32"/>
        </w:rPr>
      </w:pPr>
      <w:r>
        <w:rPr>
          <w:rFonts w:hint="eastAsia" w:ascii="楷体" w:hAnsi="楷体" w:eastAsia="楷体" w:cs="楷体_GB2312"/>
          <w:bCs/>
          <w:sz w:val="32"/>
          <w:szCs w:val="32"/>
        </w:rPr>
        <w:t>（一）自评的组织工作</w:t>
      </w:r>
    </w:p>
    <w:p>
      <w:pPr>
        <w:spacing w:line="560" w:lineRule="exact"/>
        <w:ind w:firstLine="642"/>
        <w:rPr>
          <w:rFonts w:ascii="仿宋_GB2312" w:hAnsi="仿宋_GB2312" w:eastAsia="仿宋_GB2312" w:cs="仿宋_GB2312"/>
          <w:sz w:val="32"/>
          <w:szCs w:val="32"/>
        </w:rPr>
      </w:pPr>
      <w:r>
        <w:rPr>
          <w:rFonts w:hint="eastAsia" w:ascii="仿宋" w:hAnsi="仿宋" w:eastAsia="仿宋"/>
          <w:sz w:val="32"/>
          <w:szCs w:val="32"/>
        </w:rPr>
        <w:t xml:space="preserve"> </w:t>
      </w:r>
      <w:r>
        <w:rPr>
          <w:rFonts w:hint="eastAsia" w:ascii="仿宋_GB2312" w:hAnsi="仿宋_GB2312" w:eastAsia="仿宋_GB2312" w:cs="仿宋_GB2312"/>
          <w:sz w:val="32"/>
          <w:szCs w:val="32"/>
        </w:rPr>
        <w:t>1.绩效评价的目的</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通过建立科学、合理的财政专项资金绩效评价管理体系，运用绩效指标、评价标准和评价方法对202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基础社区工作经费</w:t>
      </w:r>
      <w:r>
        <w:rPr>
          <w:rFonts w:hint="eastAsia" w:ascii="仿宋_GB2312" w:hAnsi="仿宋_GB2312" w:eastAsia="仿宋_GB2312" w:cs="仿宋_GB2312"/>
          <w:sz w:val="32"/>
          <w:szCs w:val="32"/>
        </w:rPr>
        <w:t>项目专项资金投入产出、效率和效果进行客观、公正的评价，可以反映财政资金管理使用现状、开展</w:t>
      </w:r>
      <w:r>
        <w:rPr>
          <w:rFonts w:hint="eastAsia" w:ascii="仿宋_GB2312" w:hAnsi="仿宋_GB2312" w:eastAsia="仿宋_GB2312" w:cs="仿宋_GB2312"/>
          <w:sz w:val="32"/>
          <w:szCs w:val="32"/>
          <w:lang w:eastAsia="zh-CN"/>
        </w:rPr>
        <w:t>社区</w:t>
      </w:r>
      <w:r>
        <w:rPr>
          <w:rFonts w:hint="eastAsia" w:ascii="仿宋_GB2312" w:hAnsi="仿宋_GB2312" w:eastAsia="仿宋_GB2312" w:cs="仿宋_GB2312"/>
          <w:sz w:val="32"/>
          <w:szCs w:val="32"/>
        </w:rPr>
        <w:t>工作所取得的成效，加强财政专项资金管理，强化支出责任，建立提高财政专项资金使用效益。</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2.项目评价资料收集</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绩效评价小组到相关科室和社区收集相关数据，实地查看项目开展情况，形成文字说明，召开小组会议讨论评议，最后进行汇总整理。</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3.绩效评价设计过程</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根据上级部门的相关要求，成立绩效评价工作小组，对党建惠民项目进行核查评价。</w:t>
      </w:r>
    </w:p>
    <w:p>
      <w:pPr>
        <w:spacing w:line="560" w:lineRule="exact"/>
        <w:ind w:firstLine="640" w:firstLineChars="200"/>
        <w:rPr>
          <w:rFonts w:ascii="仿宋" w:hAnsi="仿宋" w:eastAsia="仿宋"/>
          <w:sz w:val="32"/>
          <w:szCs w:val="32"/>
        </w:rPr>
      </w:pPr>
      <w:r>
        <w:rPr>
          <w:rFonts w:hint="eastAsia" w:ascii="仿宋_GB2312" w:hAnsi="仿宋_GB2312" w:eastAsia="仿宋_GB2312" w:cs="仿宋_GB2312"/>
          <w:sz w:val="32"/>
          <w:szCs w:val="32"/>
        </w:rPr>
        <w:t>工作小组首先进行前期调研，对相关文件的解读，根据绩效评价的基本原理、原则和项目特点，制定工作方案。结合绩效目标，由绩效评价小组按确定的评价指标体系、评分标准。收集整理相关文件和资料，对记账凭证等进行核实汇总，安排项目实地考察、访谈等工作。真实、完整、全面的评价项目的实施及完成情况。</w:t>
      </w:r>
    </w:p>
    <w:p>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确定项目实施计划、资金支出计划、绩效目标、产出指标、效果指标。</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绩效评价的方法：</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着“科学性、规范性、客观性、公正性和相关性”的原则开展相关工作。以规定的评价流程、细致的指标体系指导评价工作的进行，采取合理、有效的评价方法，客观、公正的对各个项目单位及其具体的项目管理进行评价，进而对本次财政支出作出公允、恰当的评价结果。</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本次主要采用因素分析法，采取数据对比，标准和抽样调查相结合，同时辅以现场勘察、资料研究等方法。</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绩效评价的过程：</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1、基础数据采集</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绩效评价工作于202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月启动，评价小组在</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月9日提供资料需求清单，并于</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月9日-4月</w:t>
      </w:r>
      <w:r>
        <w:rPr>
          <w:rFonts w:hint="eastAsia" w:ascii="仿宋_GB2312" w:hAnsi="仿宋_GB2312" w:eastAsia="仿宋_GB2312" w:cs="仿宋_GB2312"/>
          <w:sz w:val="32"/>
          <w:szCs w:val="32"/>
          <w:lang w:val="en-US" w:eastAsia="zh-CN"/>
        </w:rPr>
        <w:t>19</w:t>
      </w:r>
      <w:bookmarkStart w:id="0" w:name="_GoBack"/>
      <w:bookmarkEnd w:id="0"/>
      <w:r>
        <w:rPr>
          <w:rFonts w:hint="eastAsia" w:ascii="仿宋_GB2312" w:hAnsi="仿宋_GB2312" w:eastAsia="仿宋_GB2312" w:cs="仿宋_GB2312"/>
          <w:sz w:val="32"/>
          <w:szCs w:val="32"/>
        </w:rPr>
        <w:t>日，收集项目的基础数据和项目文件资料。</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2、数据分析及撰写报告</w:t>
      </w:r>
    </w:p>
    <w:p>
      <w:pPr>
        <w:spacing w:line="560" w:lineRule="exact"/>
        <w:ind w:firstLine="640" w:firstLineChars="200"/>
        <w:rPr>
          <w:rFonts w:ascii="楷体" w:hAnsi="楷体" w:eastAsia="楷体" w:cs="楷体_GB2312"/>
          <w:bCs/>
          <w:sz w:val="32"/>
          <w:szCs w:val="32"/>
        </w:rPr>
      </w:pPr>
      <w:r>
        <w:rPr>
          <w:rFonts w:hint="eastAsia" w:ascii="仿宋_GB2312" w:hAnsi="仿宋_GB2312" w:eastAsia="仿宋_GB2312" w:cs="仿宋_GB2312"/>
          <w:sz w:val="32"/>
          <w:szCs w:val="32"/>
        </w:rPr>
        <w:t>绩效评价小组根据绩效评价的原理和规范，对采集的数据进行处理、分析和评价，并提炼结论撰写报告。</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640" w:firstLineChars="200"/>
        <w:rPr>
          <w:rFonts w:ascii="仿宋" w:hAnsi="仿宋" w:eastAsia="仿宋" w:cs="楷体_GB2312"/>
          <w:b/>
          <w:bCs/>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 xml:space="preserve">年本部门绩效目标总体完成情况良好，基本实现了年初预期目标，专项资金支出较为科学，能够较好的保证业务工作的正常运转,同时存在绩效预算指标数量较少，准确性、合理性也有待进一步优化的问题。今后专项项目工作应根据工作安排及时调整，进一步提高资金使用效率。 </w:t>
      </w:r>
      <w:r>
        <w:rPr>
          <w:rFonts w:hint="eastAsia" w:ascii="仿宋" w:hAnsi="仿宋" w:eastAsia="仿宋" w:cs="楷体_GB2312"/>
          <w:b/>
          <w:bCs/>
          <w:sz w:val="32"/>
          <w:szCs w:val="32"/>
        </w:rPr>
        <w:t xml:space="preserve">   </w:t>
      </w:r>
    </w:p>
    <w:p>
      <w:p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（二）分项绩效目标实现情况及指标分析</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年本单位分项绩效目标实现良好。本年度已按要求完成绩效目标，完成质量较好，均按照预定的时间及成本要求完成，达到评价指标的要求。</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w:t>
      </w:r>
      <w:r>
        <w:rPr>
          <w:rFonts w:hint="eastAsia" w:ascii="仿宋_GB2312" w:eastAsia="仿宋_GB2312"/>
          <w:sz w:val="32"/>
          <w:szCs w:val="32"/>
        </w:rPr>
        <w:t>总得分95分，办事处的项目综合绩效评价等级为优秀。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部分资金执行情况滞后，导致资金使用率不高。</w:t>
      </w:r>
    </w:p>
    <w:p>
      <w:pPr>
        <w:numPr>
          <w:ilvl w:val="0"/>
          <w:numId w:val="4"/>
        </w:numPr>
        <w:spacing w:line="560" w:lineRule="exact"/>
        <w:ind w:firstLine="640" w:firstLineChars="200"/>
        <w:rPr>
          <w:rFonts w:ascii="楷体" w:hAnsi="楷体" w:eastAsia="楷体"/>
          <w:bCs/>
          <w:sz w:val="32"/>
          <w:szCs w:val="32"/>
        </w:rPr>
      </w:pPr>
      <w:r>
        <w:rPr>
          <w:rFonts w:hint="eastAsia" w:ascii="楷体" w:hAnsi="楷体" w:eastAsia="楷体"/>
          <w:bCs/>
          <w:sz w:val="32"/>
          <w:szCs w:val="32"/>
        </w:rPr>
        <w:t>针对问题提出具体的改进措施或建议</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1、加强学习指导，提高业务水平，精心组织，严格把关，确保项目申报工作的规范性、真实性和严肃性。</w:t>
      </w:r>
    </w:p>
    <w:p>
      <w:pPr>
        <w:spacing w:line="560" w:lineRule="exact"/>
        <w:ind w:firstLine="640" w:firstLineChars="200"/>
        <w:rPr>
          <w:rFonts w:ascii="楷体" w:hAnsi="楷体" w:eastAsia="楷体"/>
          <w:bCs/>
          <w:sz w:val="32"/>
          <w:szCs w:val="32"/>
        </w:rPr>
      </w:pPr>
      <w:r>
        <w:rPr>
          <w:rFonts w:hint="eastAsia" w:ascii="仿宋_GB2312" w:eastAsia="仿宋_GB2312"/>
          <w:sz w:val="32"/>
          <w:szCs w:val="32"/>
        </w:rPr>
        <w:t>2、完善项目管理，做的事前计划、事中控制、事后分析，实现花钱必问效，无效必问责。</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寇伟：街道办事处党工委书记</w:t>
      </w:r>
    </w:p>
    <w:p>
      <w:pPr>
        <w:spacing w:line="560" w:lineRule="exact"/>
        <w:ind w:firstLine="640" w:firstLineChars="200"/>
        <w:rPr>
          <w:rFonts w:ascii="仿宋_GB2312" w:eastAsia="仿宋_GB2312"/>
          <w:sz w:val="32"/>
          <w:szCs w:val="32"/>
        </w:rPr>
      </w:pPr>
      <w:r>
        <w:rPr>
          <w:rFonts w:hint="eastAsia" w:ascii="仿宋_GB2312" w:eastAsia="仿宋_GB2312"/>
          <w:sz w:val="32"/>
          <w:szCs w:val="32"/>
          <w:lang w:val="en-US" w:eastAsia="zh-CN"/>
        </w:rPr>
        <w:t>曹龙飞</w:t>
      </w:r>
      <w:r>
        <w:rPr>
          <w:rFonts w:hint="eastAsia" w:ascii="仿宋_GB2312" w:eastAsia="仿宋_GB2312"/>
          <w:sz w:val="32"/>
          <w:szCs w:val="32"/>
        </w:rPr>
        <w:t>：街道办事处主任</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袁彬：街道办事处党工委副书记</w:t>
      </w:r>
    </w:p>
    <w:p>
      <w:pPr>
        <w:spacing w:line="560" w:lineRule="exact"/>
        <w:ind w:firstLine="640" w:firstLineChars="200"/>
      </w:pPr>
      <w:r>
        <w:rPr>
          <w:rFonts w:hint="eastAsia" w:ascii="仿宋_GB2312" w:eastAsia="仿宋_GB2312"/>
          <w:sz w:val="32"/>
          <w:szCs w:val="32"/>
        </w:rPr>
        <w:t>尹亚静：街道办事处会计</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仿宋_GB2312">
    <w:altName w:val="仿宋"/>
    <w:panose1 w:val="00000000000000000000"/>
    <w:charset w:val="86"/>
    <w:family w:val="modern"/>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A0000287" w:usb1="28C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Quad Arrow 3073" o:spid="_x0000_s3073" o:spt="202" type="#_x0000_t202" style="position:absolute;left:0pt;margin-top:0pt;height:144pt;width:144pt;mso-position-horizontal:center;mso-position-horizontal-relative:margin;mso-wrap-style:none;z-index:102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E015736"/>
    <w:multiLevelType w:val="singleLevel"/>
    <w:tmpl w:val="AE015736"/>
    <w:lvl w:ilvl="0" w:tentative="0">
      <w:start w:val="2"/>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6DF2504"/>
    <w:multiLevelType w:val="singleLevel"/>
    <w:tmpl w:val="56DF2504"/>
    <w:lvl w:ilvl="0" w:tentative="0">
      <w:start w:val="2"/>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0B0260"/>
    <w:rsid w:val="000F2ABA"/>
    <w:rsid w:val="00664BF7"/>
    <w:rsid w:val="007E6C1F"/>
    <w:rsid w:val="008D0C21"/>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AB67723"/>
    <w:rsid w:val="0BB63BED"/>
    <w:rsid w:val="0EB97A43"/>
    <w:rsid w:val="0EBD2122"/>
    <w:rsid w:val="0F214EAE"/>
    <w:rsid w:val="11B71E6A"/>
    <w:rsid w:val="1AAF0063"/>
    <w:rsid w:val="1BE140DE"/>
    <w:rsid w:val="210E4FE9"/>
    <w:rsid w:val="248C197D"/>
    <w:rsid w:val="252959AF"/>
    <w:rsid w:val="277A6671"/>
    <w:rsid w:val="292D35B7"/>
    <w:rsid w:val="29E243F0"/>
    <w:rsid w:val="32CA4BBC"/>
    <w:rsid w:val="33EB6CFF"/>
    <w:rsid w:val="35A12947"/>
    <w:rsid w:val="36755183"/>
    <w:rsid w:val="37387040"/>
    <w:rsid w:val="3B625C0A"/>
    <w:rsid w:val="3BC35E94"/>
    <w:rsid w:val="3CCC3766"/>
    <w:rsid w:val="3CEE1963"/>
    <w:rsid w:val="3EDF4B06"/>
    <w:rsid w:val="3EF41D64"/>
    <w:rsid w:val="4A575111"/>
    <w:rsid w:val="4C9C27FE"/>
    <w:rsid w:val="512260B4"/>
    <w:rsid w:val="52BD6ACB"/>
    <w:rsid w:val="55537534"/>
    <w:rsid w:val="561A74F1"/>
    <w:rsid w:val="584D344F"/>
    <w:rsid w:val="597244E8"/>
    <w:rsid w:val="59AA682C"/>
    <w:rsid w:val="5EB71C30"/>
    <w:rsid w:val="66AF0CE5"/>
    <w:rsid w:val="6AC537CF"/>
    <w:rsid w:val="6E5B14A6"/>
    <w:rsid w:val="711B255E"/>
    <w:rsid w:val="71536109"/>
    <w:rsid w:val="7BB51E06"/>
    <w:rsid w:val="7C387F7C"/>
    <w:rsid w:val="7DED00B5"/>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99"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annotation text"/>
    <w:basedOn w:val="1"/>
    <w:semiHidden/>
    <w:unhideWhenUsed/>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6">
    <w:name w:val="annotation reference"/>
    <w:semiHidden/>
    <w:unhideWhenUsed/>
    <w:qFormat/>
    <w:uiPriority w:val="99"/>
    <w:rPr>
      <w:sz w:val="21"/>
      <w:szCs w:val="21"/>
    </w:rPr>
  </w:style>
  <w:style w:type="paragraph" w:customStyle="1" w:styleId="8">
    <w:name w:val="单元格样式1"/>
    <w:basedOn w:val="1"/>
    <w:qFormat/>
    <w:uiPriority w:val="0"/>
    <w:pPr>
      <w:spacing w:after="0"/>
      <w:jc w:val="center"/>
    </w:pPr>
    <w:rPr>
      <w:rFonts w:ascii="方正书宋_GBK" w:hAnsi="方正书宋_GBK" w:eastAsia="方正书宋_GBK" w:cs="方正书宋_GBK"/>
      <w:b/>
    </w:rPr>
  </w:style>
  <w:style w:type="paragraph" w:customStyle="1" w:styleId="9">
    <w:name w:val="单元格样式2"/>
    <w:basedOn w:val="1"/>
    <w:qFormat/>
    <w:uiPriority w:val="0"/>
    <w:pPr>
      <w:spacing w:after="0"/>
      <w:jc w:val="left"/>
    </w:pPr>
    <w:rPr>
      <w:rFonts w:ascii="方正书宋_GBK" w:hAnsi="方正书宋_GBK" w:eastAsia="方正书宋_GBK" w:cs="方正书宋_GBK"/>
    </w:rPr>
  </w:style>
  <w:style w:type="paragraph" w:customStyle="1" w:styleId="10">
    <w:name w:val="单元格样式3"/>
    <w:basedOn w:val="1"/>
    <w:qFormat/>
    <w:uiPriority w:val="0"/>
    <w:pPr>
      <w:spacing w:after="0"/>
      <w:jc w:val="center"/>
    </w:pPr>
    <w:rPr>
      <w:rFonts w:ascii="方正书宋_GBK" w:hAnsi="方正书宋_GBK" w:eastAsia="方正书宋_GBK" w:cs="方正书宋_GBK"/>
    </w:rPr>
  </w:style>
  <w:style w:type="paragraph" w:customStyle="1" w:styleId="11">
    <w:name w:val="插入文本样式-插入总体目标文件"/>
    <w:basedOn w:val="1"/>
    <w:qFormat/>
    <w:uiPriority w:val="0"/>
    <w:pPr>
      <w:spacing w:after="0" w:line="500" w:lineRule="exact"/>
      <w:ind w:firstLine="560"/>
      <w:jc w:val="left"/>
    </w:pPr>
    <w:rPr>
      <w:rFonts w:ascii="Times New Roman" w:hAnsi="Times New Roman" w:eastAsia="方正仿宋_GBK" w:cs="Times New Roman"/>
      <w:sz w:val="28"/>
    </w:rPr>
  </w:style>
  <w:style w:type="paragraph" w:customStyle="1" w:styleId="12">
    <w:name w:val="插入文本样式-插入职责分类绩效目标文件"/>
    <w:basedOn w:val="1"/>
    <w:qFormat/>
    <w:uiPriority w:val="0"/>
    <w:pPr>
      <w:spacing w:after="0" w:line="500" w:lineRule="exact"/>
      <w:ind w:firstLine="560"/>
      <w:jc w:val="left"/>
    </w:pPr>
    <w:rPr>
      <w:rFonts w:ascii="Times New Roman" w:hAnsi="Times New Roman" w:eastAsia="方正仿宋_GBK" w:cs="Times New Roman"/>
      <w:sz w:val="28"/>
    </w:rPr>
  </w:style>
  <w:style w:type="paragraph" w:customStyle="1" w:styleId="13">
    <w:name w:val="插入文本样式-插入实现年度发展规划目标的保障措施文件"/>
    <w:basedOn w:val="1"/>
    <w:qFormat/>
    <w:uiPriority w:val="0"/>
    <w:pPr>
      <w:spacing w:after="0" w:line="500" w:lineRule="exact"/>
      <w:ind w:firstLine="560"/>
      <w:jc w:val="left"/>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717</Words>
  <Characters>4090</Characters>
  <Lines>34</Lines>
  <Paragraphs>9</Paragraphs>
  <TotalTime>6</TotalTime>
  <ScaleCrop>false</ScaleCrop>
  <LinksUpToDate>false</LinksUpToDate>
  <CharactersWithSpaces>4798</CharactersWithSpaces>
  <Application>WPS Office_10.1.0.7520_F1E327BC-269C-435d-A152-05C5408002CA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qq</cp:lastModifiedBy>
  <cp:lastPrinted>2022-01-19T07:24:00Z</cp:lastPrinted>
  <dcterms:modified xsi:type="dcterms:W3CDTF">2026-04-27T03:35:23Z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2052-10.1.0.7520</vt:lpwstr>
  </property>
</Properties>
</file>