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87BA54F">
      <w:pPr>
        <w:widowControl w:val="0"/>
        <w:wordWrap/>
        <w:adjustRightInd/>
        <w:snapToGrid w:val="0"/>
        <w:spacing w:line="560" w:lineRule="exact"/>
        <w:ind w:left="0" w:leftChars="0" w:right="0"/>
        <w:textAlignment w:val="auto"/>
        <w:outlineLvl w:val="9"/>
        <w:rPr>
          <w:rFonts w:hint="default" w:ascii="仿宋" w:hAnsi="仿宋" w:eastAsia="仿宋" w:cs="仿宋"/>
          <w:sz w:val="32"/>
          <w:szCs w:val="32"/>
          <w:lang w:val="en-US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5</w:t>
      </w:r>
    </w:p>
    <w:p w14:paraId="314A10B7">
      <w:pPr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</w:pPr>
    </w:p>
    <w:p w14:paraId="373E7737">
      <w:pPr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新华区住房和城区建设局</w:t>
      </w:r>
    </w:p>
    <w:p w14:paraId="0227E257">
      <w:pPr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202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年度整体支出绩效自评报告</w:t>
      </w:r>
    </w:p>
    <w:p w14:paraId="43DFF774"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 w14:paraId="19AE6A72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</w:t>
      </w:r>
      <w:r>
        <w:rPr>
          <w:rFonts w:hint="eastAsia" w:ascii="仿宋" w:hAnsi="仿宋" w:eastAsia="仿宋"/>
          <w:sz w:val="32"/>
          <w:szCs w:val="32"/>
          <w:lang w:eastAsia="zh-CN"/>
        </w:rPr>
        <w:t>区</w:t>
      </w:r>
      <w:r>
        <w:rPr>
          <w:rFonts w:hint="eastAsia" w:ascii="仿宋" w:hAnsi="仿宋" w:eastAsia="仿宋"/>
          <w:sz w:val="32"/>
          <w:szCs w:val="32"/>
        </w:rPr>
        <w:t>委</w:t>
      </w:r>
      <w:r>
        <w:rPr>
          <w:rFonts w:hint="eastAsia" w:ascii="仿宋" w:hAnsi="仿宋" w:eastAsia="仿宋"/>
          <w:sz w:val="32"/>
          <w:szCs w:val="32"/>
          <w:lang w:eastAsia="zh-CN"/>
        </w:rPr>
        <w:t>区</w:t>
      </w:r>
      <w:r>
        <w:rPr>
          <w:rFonts w:hint="eastAsia" w:ascii="仿宋" w:hAnsi="仿宋" w:eastAsia="仿宋"/>
          <w:sz w:val="32"/>
          <w:szCs w:val="32"/>
        </w:rPr>
        <w:t>政府《关于全面落实预算绩效管理的实施意见》</w:t>
      </w:r>
      <w:r>
        <w:rPr>
          <w:rFonts w:hint="eastAsia" w:ascii="仿宋_GB2312" w:eastAsia="仿宋_GB2312"/>
          <w:sz w:val="32"/>
          <w:szCs w:val="32"/>
        </w:rPr>
        <w:t>（新华发〔2019〕9号）</w:t>
      </w:r>
      <w:r>
        <w:rPr>
          <w:rFonts w:hint="eastAsia" w:ascii="仿宋" w:hAnsi="仿宋" w:eastAsia="仿宋"/>
          <w:sz w:val="32"/>
          <w:szCs w:val="32"/>
        </w:rPr>
        <w:t>文件精神，遵循“科学性、规范性、客观性和公正性”的原则，对</w:t>
      </w:r>
      <w:r>
        <w:rPr>
          <w:rFonts w:hint="eastAsia" w:ascii="仿宋" w:hAnsi="仿宋" w:eastAsia="仿宋"/>
          <w:sz w:val="32"/>
          <w:szCs w:val="32"/>
          <w:lang w:eastAsia="zh-CN"/>
        </w:rPr>
        <w:t>新华区住房和城区建设局</w:t>
      </w:r>
      <w:r>
        <w:rPr>
          <w:rFonts w:hint="eastAsia" w:ascii="仿宋" w:hAnsi="仿宋" w:eastAsia="仿宋"/>
          <w:sz w:val="32"/>
          <w:szCs w:val="32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</w:rPr>
        <w:t>年整体支出情况实施了财政支出绩效自评价，形成本评价报告。</w:t>
      </w:r>
    </w:p>
    <w:p w14:paraId="132D0E83">
      <w:pPr>
        <w:adjustRightInd w:val="0"/>
        <w:snapToGrid w:val="0"/>
        <w:spacing w:line="560" w:lineRule="exact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 w14:paraId="2631B5CD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（一）部门概况</w:t>
      </w:r>
    </w:p>
    <w:p w14:paraId="41DEC0A8">
      <w:pPr>
        <w:numPr>
          <w:ilvl w:val="0"/>
          <w:numId w:val="0"/>
        </w:numPr>
        <w:ind w:firstLine="640" w:firstLineChars="200"/>
        <w:rPr>
          <w:rFonts w:hint="eastAsia" w:ascii="仿宋_GB2312" w:eastAsia="仿宋_GB2312" w:cs="ArialUnicodeMS"/>
          <w:kern w:val="0"/>
          <w:sz w:val="32"/>
          <w:szCs w:val="32"/>
          <w:lang w:val="en-US" w:eastAsia="zh-CN"/>
        </w:rPr>
      </w:pPr>
      <w:r>
        <w:rPr>
          <w:rFonts w:hint="eastAsia" w:ascii="仿宋_GB2312" w:eastAsia="仿宋_GB2312" w:cs="ArialUnicodeMS"/>
          <w:kern w:val="0"/>
          <w:sz w:val="32"/>
          <w:szCs w:val="32"/>
          <w:lang w:val="en-US" w:eastAsia="zh-CN"/>
        </w:rPr>
        <w:t>石家庄市新华区住房和城区建设局（简称区住建局），为区政府工作部门，机构规格正科级。贯彻执行国家和省、市住房城区建设工作的方针、政策和法律、法规;贯彻落实城镇住房保障相关政策；负责房地产开发企业资质的批后监管和房地产中介机构的监管，以及房地产中介机构资质备案和商品住房租赁备案工作;负责房屋建筑市场的监督管理，指导规范房屋建设项目农民工工资发放；负责房屋建设工程的质量安全监督管理，以及质量安全监督备案工作;负责落实国家、省、市、区的建筑科技政策和建设任务，指导建筑节能、绿色建筑、墙体材料革新、既有居住建筑节能改造等工作，承担房屋建筑工程节能监管工作;物业管理活动的监督管理工作，对违反《物业管理条例》规定的，依法进行处理，指导住宅室内装饰装修工作，组织旧住宅小区整治工作;负责房屋安全管理工作。负责住房保障资格的审核管理。负责住房和城区建设领域违法违规行为的巡查工作。负责建设工程消防设计审查验收工作。负责辖区新建商品房预售资金的日常管理和监管工作。完成区委、区政府交办的其他任务。</w:t>
      </w:r>
    </w:p>
    <w:p w14:paraId="69F50693">
      <w:pPr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区住房和城区建设局下属财政全额拨款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新华区保障性住房服务中心、新华区建设工程质量与安全监督管理站、新华区住房和建设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监管综合服务中心三个事业单位。财务预决算由区住房和城区建设局统一核算。</w:t>
      </w:r>
    </w:p>
    <w:p w14:paraId="4C2A370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截至2025年12月31日，实有在职人员35人（其中：行政编制9人，事业编制26人，退休人员4人）。</w:t>
      </w:r>
    </w:p>
    <w:p w14:paraId="21AC68A8">
      <w:pPr>
        <w:pStyle w:val="3"/>
        <w:numPr>
          <w:ilvl w:val="0"/>
          <w:numId w:val="1"/>
        </w:numPr>
        <w:ind w:left="640" w:leftChars="0" w:firstLine="0" w:firstLineChars="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部门收支预决算情况</w:t>
      </w:r>
    </w:p>
    <w:p w14:paraId="3805AEEA">
      <w:pPr>
        <w:adjustRightInd w:val="0"/>
        <w:snapToGrid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本部门2025年度预算收入27007.47万元，其中专项项目预算26453.72万元；决算财政拨款本年收入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22571.21</w:t>
      </w:r>
      <w:r>
        <w:rPr>
          <w:rFonts w:hint="eastAsia" w:ascii="仿宋" w:hAnsi="仿宋" w:eastAsia="仿宋" w:cs="仿宋"/>
          <w:sz w:val="32"/>
          <w:szCs w:val="32"/>
        </w:rPr>
        <w:t>万元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其中专项项目收入21967.18万元。</w:t>
      </w:r>
    </w:p>
    <w:p w14:paraId="1D1EDCF4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（三）部门整体支出绩效目标、指标</w:t>
      </w:r>
    </w:p>
    <w:p w14:paraId="0633E26D">
      <w:pPr>
        <w:pStyle w:val="3"/>
        <w:ind w:left="0" w:leftChars="0" w:firstLine="640" w:firstLineChars="200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在区委、区政府的有力引领下，勇挑城市建设与管理重担，积极回应民生期盼，全体干部职工凝心聚力，从住房保障的巩固强化到城区建设的统筹推进，从建筑市场的规范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有序到行业安全的常抓不懈，在关键领域精准发力，为区域的繁荣稳定和居民的幸福生活奋力拼搏。</w:t>
      </w:r>
    </w:p>
    <w:p w14:paraId="565AFDB1">
      <w:pPr>
        <w:pStyle w:val="3"/>
        <w:ind w:left="0" w:leftChars="0" w:firstLine="640" w:firstLineChars="200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1.强化党建引领</w:t>
      </w:r>
    </w:p>
    <w:p w14:paraId="2007B7F8">
      <w:pPr>
        <w:pStyle w:val="3"/>
        <w:ind w:left="0" w:leftChars="0" w:firstLine="640" w:firstLineChars="200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（1）推动党建与业务工作融合。</w:t>
      </w:r>
    </w:p>
    <w:p w14:paraId="01FEEEEF">
      <w:pPr>
        <w:pStyle w:val="3"/>
        <w:ind w:left="0" w:leftChars="0" w:firstLine="640" w:firstLineChars="200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（2）全面加强党风廉政建设。</w:t>
      </w:r>
    </w:p>
    <w:p w14:paraId="0C5F03C3">
      <w:pPr>
        <w:pStyle w:val="3"/>
        <w:ind w:left="0" w:leftChars="0" w:firstLine="640" w:firstLineChars="200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（3）筑牢意识形态安全防线。</w:t>
      </w:r>
    </w:p>
    <w:p w14:paraId="1C798BD1">
      <w:pPr>
        <w:pStyle w:val="3"/>
        <w:ind w:left="0" w:leftChars="0" w:firstLine="640" w:firstLineChars="200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2.保障房地产市场健康发展</w:t>
      </w:r>
    </w:p>
    <w:p w14:paraId="41DCF6B4">
      <w:pPr>
        <w:pStyle w:val="3"/>
        <w:ind w:left="0" w:leftChars="0" w:firstLine="640" w:firstLineChars="200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（1）着力保障和改善民生</w:t>
      </w:r>
    </w:p>
    <w:p w14:paraId="39A71FE9">
      <w:pPr>
        <w:pStyle w:val="3"/>
        <w:ind w:left="0" w:leftChars="0" w:firstLine="640" w:firstLineChars="200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全力推动2024年老旧小区项目建设；推动物业服务提质升级，一是全力推动充电桩加装进展，二是开展住宅小区电动车治理及楼道杂物清理工作，三是积极推动电梯更新，四是着力提升物业服务水平；高效完成棚户区年度改造任务；住房保障审核工作有序开展。</w:t>
      </w:r>
    </w:p>
    <w:p w14:paraId="5CBAFA60">
      <w:pPr>
        <w:pStyle w:val="3"/>
        <w:ind w:left="0" w:leftChars="0" w:firstLine="640" w:firstLineChars="200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（2）补齐城建短板</w:t>
      </w:r>
    </w:p>
    <w:p w14:paraId="5838176D">
      <w:pPr>
        <w:pStyle w:val="3"/>
        <w:ind w:left="0" w:leftChars="0" w:firstLine="640" w:firstLineChars="200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积极加快城市更新工作；优化危旧房屋管理；大力开展自建房排查整治工作。</w:t>
      </w:r>
    </w:p>
    <w:p w14:paraId="5DC20BC0">
      <w:pPr>
        <w:pStyle w:val="3"/>
        <w:ind w:left="0" w:leftChars="0" w:firstLine="640" w:firstLineChars="200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（3）促进房地产市场平稳发展</w:t>
      </w:r>
    </w:p>
    <w:p w14:paraId="6C203139">
      <w:pPr>
        <w:pStyle w:val="3"/>
        <w:ind w:left="0" w:leftChars="0" w:firstLine="640" w:firstLineChars="200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提升房地产市场监管水平；缩短库存去化周期；圆满完成保交房任务。</w:t>
      </w:r>
    </w:p>
    <w:p w14:paraId="10C43BF2">
      <w:pPr>
        <w:pStyle w:val="3"/>
        <w:ind w:left="0" w:leftChars="0" w:firstLine="640" w:firstLineChars="200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3.促进建筑业持续健康发展</w:t>
      </w:r>
    </w:p>
    <w:p w14:paraId="65DB86CB">
      <w:pPr>
        <w:pStyle w:val="3"/>
        <w:ind w:left="0" w:leftChars="0" w:firstLine="640" w:firstLineChars="200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（1）强化建筑市场秩序监督检查</w:t>
      </w:r>
    </w:p>
    <w:p w14:paraId="1F929A07">
      <w:pPr>
        <w:pStyle w:val="3"/>
        <w:ind w:left="0" w:leftChars="0" w:firstLine="640" w:firstLineChars="200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开展“三包一靠”专项整治行动；严格落实实名制；积极协调化解欠薪案件；持续加强建筑市场巡查监管。</w:t>
      </w:r>
    </w:p>
    <w:p w14:paraId="46266957">
      <w:pPr>
        <w:pStyle w:val="3"/>
        <w:ind w:left="0" w:leftChars="0" w:firstLine="640" w:firstLineChars="200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（2）扎实做好建筑施工质量安全监督服务工作</w:t>
      </w:r>
    </w:p>
    <w:p w14:paraId="53CE4921">
      <w:pPr>
        <w:adjustRightInd w:val="0"/>
        <w:snapToGrid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质量监管有力有序；安全生产平稳可控；依法依规消防审验；多措并举治理扬尘。</w:t>
      </w:r>
    </w:p>
    <w:p w14:paraId="2C327FC8">
      <w:pPr>
        <w:numPr>
          <w:ilvl w:val="0"/>
          <w:numId w:val="0"/>
        </w:num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  <w:lang w:val="en-US" w:eastAsia="zh-CN"/>
        </w:rPr>
        <w:t>二、</w:t>
      </w:r>
      <w:r>
        <w:rPr>
          <w:rFonts w:hint="eastAsia" w:ascii="黑体" w:hAnsi="黑体" w:eastAsia="黑体"/>
          <w:sz w:val="32"/>
          <w:szCs w:val="32"/>
        </w:rPr>
        <w:t>自评工作开展情况</w:t>
      </w:r>
    </w:p>
    <w:p w14:paraId="0D89951E">
      <w:pPr>
        <w:numPr>
          <w:ilvl w:val="0"/>
          <w:numId w:val="0"/>
        </w:num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根据《石家庄市新华区区级部门项目绩效自评管理办法》(石新财〔2020〕15号)、《关于全面落实预算绩效管理的实施意见》(新华发〔2019〕9号)、《石家庄市新华区财政局关于开展202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sz w:val="32"/>
          <w:szCs w:val="32"/>
        </w:rPr>
        <w:t>年绩效自评工作的通知》等文件精神，局领导高度重视，积极部署，召开专题会议，系统安排绩效自评工作。与此同时，我局系统规定了重点项目评价的内容、方式、流程等相关内容，确保重点项目自评工作按时、保质完成。</w:t>
      </w:r>
    </w:p>
    <w:p w14:paraId="284B1381"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我局成立以局长为组长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分管领导为副组长，各股室负责人为成员的</w:t>
      </w:r>
      <w:r>
        <w:rPr>
          <w:rFonts w:hint="eastAsia" w:ascii="仿宋" w:hAnsi="仿宋" w:eastAsia="仿宋" w:cs="仿宋"/>
          <w:sz w:val="32"/>
          <w:szCs w:val="32"/>
        </w:rPr>
        <w:t>绩效自评领导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工作</w:t>
      </w:r>
      <w:r>
        <w:rPr>
          <w:rFonts w:hint="eastAsia" w:ascii="仿宋" w:hAnsi="仿宋" w:eastAsia="仿宋" w:cs="仿宋"/>
          <w:sz w:val="32"/>
          <w:szCs w:val="32"/>
        </w:rPr>
        <w:t>组，制定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了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绩效自评工作</w:t>
      </w:r>
      <w:r>
        <w:rPr>
          <w:rFonts w:hint="eastAsia" w:ascii="仿宋" w:hAnsi="仿宋" w:eastAsia="仿宋" w:cs="仿宋"/>
          <w:sz w:val="32"/>
          <w:szCs w:val="32"/>
        </w:rPr>
        <w:t>实施方案，明确分工、流程和标准，按“自查梳理—数据核实—分析研判—汇总上报”流程推进，确保结果真实客观。</w:t>
      </w:r>
    </w:p>
    <w:p w14:paraId="1C1E016E"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三、部门整体支出绩效目标实现情况及指标分析</w:t>
      </w:r>
    </w:p>
    <w:p w14:paraId="22308E83">
      <w:pPr>
        <w:numPr>
          <w:ilvl w:val="0"/>
          <w:numId w:val="2"/>
        </w:numPr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 w14:paraId="1953A307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2025年，住建局紧紧围绕区委、区政府中心工作，认真贯彻落实省、市住房和城乡建设工作会议精神，始终以“群众第一，民生优先”为工作理念，扎实开展住房和城区建设工作。</w:t>
      </w:r>
      <w:r>
        <w:rPr>
          <w:rFonts w:hint="eastAsia" w:ascii="仿宋" w:hAnsi="仿宋" w:eastAsia="仿宋" w:cs="仿宋"/>
          <w:sz w:val="32"/>
          <w:szCs w:val="32"/>
        </w:rPr>
        <w:t>城市更新提质方面，完成43个老旧小区改造、236套危旧房加固及77部电梯更新。物业规范提升上，整治物业领域问题780条，宁安小区获市级“美好家园”，建成9.8万个电动自行车充电端口。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完成</w:t>
      </w:r>
      <w:r>
        <w:rPr>
          <w:rFonts w:hint="eastAsia" w:ascii="仿宋" w:hAnsi="仿宋" w:eastAsia="仿宋" w:cs="仿宋"/>
          <w:sz w:val="32"/>
          <w:szCs w:val="32"/>
        </w:rPr>
        <w:t>7个高层住宅小区地下电动自行车停充场所专项整治，工作经验获市领导批示推广。住房保障新增保障家庭1073户，累计保障7956户，发放租赁补贴385万元，完成40个登记难项目质监消防认定，完成建设工程消防审验历史遗留及违法违规问题排查。招标项目违法违规问题系统整治自查工作取得阶段性成果工作。房地产、服务企业及建筑企业经济指标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稳步增长，增速分别为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8.4%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2.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8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%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3.6%</w:t>
      </w:r>
      <w:r>
        <w:rPr>
          <w:rFonts w:hint="eastAsia" w:ascii="仿宋" w:hAnsi="仿宋" w:eastAsia="仿宋" w:cs="仿宋"/>
          <w:sz w:val="32"/>
          <w:szCs w:val="32"/>
        </w:rPr>
        <w:t>；发放购房补贴1190.5万元，促商品房销售，有序推进4个主街主路沿线项目整治。绿色建筑竣工面积30.93万㎡、执行率100%；严控质量安全，排查整改隐患200余项，扬尘管控成效突出；受理热线工单2083件，同比下降15.8%。</w:t>
      </w:r>
    </w:p>
    <w:p w14:paraId="105D6001">
      <w:pPr>
        <w:numPr>
          <w:ilvl w:val="0"/>
          <w:numId w:val="2"/>
        </w:numPr>
        <w:ind w:left="0" w:leftChars="0"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分项绩效目标实现情况及指标分析</w:t>
      </w:r>
    </w:p>
    <w:p w14:paraId="5101800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ind w:left="0" w:leftChars="0" w:firstLine="640" w:firstLineChars="200"/>
        <w:jc w:val="left"/>
        <w:textAlignment w:val="auto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1.老旧小区改造工程项目：</w:t>
      </w:r>
    </w:p>
    <w:p w14:paraId="3991CA2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宋体" w:hAnsi="宋体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（1）</w:t>
      </w:r>
      <w:r>
        <w:rPr>
          <w:rFonts w:hint="default" w:ascii="宋体" w:hAnsi="宋体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产出指标完成情况。</w:t>
      </w: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  <w:t>2025年我区老旧小区改造任务数43个，改造内容主要从基础类、完善类、提升类三方面入手，主要包括：屋顶防水、外墙粉刷、公共楼梯间整治、公共门窗更换、室外排水、道路、消防、安防、生活垃圾分类、架空线规整（入地）、整治小区及周边绿化、照明等环境，有条件的小区增设文化休闲设施、体育健身设施、物业用房等设施改造。按照省市文件要求，改造工作2025年4月份全面开工，10月底完成施工改造任务，12月底完成竣工验收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自评得分：50分。</w:t>
      </w:r>
    </w:p>
    <w:p w14:paraId="339796B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textAlignment w:val="auto"/>
        <w:rPr>
          <w:rFonts w:hint="default" w:ascii="宋体" w:hAnsi="宋体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宋体" w:hAnsi="宋体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（2）</w:t>
      </w:r>
      <w:r>
        <w:rPr>
          <w:rFonts w:hint="default" w:ascii="宋体" w:hAnsi="宋体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效益指标完成情况。资金及时足额支付使用，经济效益明显；群众居住环境有效改善，老旧城区面貌有效改观，社会效益明显，效益指标完成。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自评得分：40分。</w:t>
      </w:r>
    </w:p>
    <w:p w14:paraId="1464049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（3）</w:t>
      </w:r>
      <w:r>
        <w:rPr>
          <w:rFonts w:hint="default" w:ascii="宋体" w:hAnsi="宋体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满意度指标完成情况。通过</w:t>
      </w:r>
      <w:r>
        <w:rPr>
          <w:rFonts w:hint="eastAsia" w:ascii="宋体" w:hAnsi="宋体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老旧小区</w:t>
      </w:r>
      <w:r>
        <w:rPr>
          <w:rFonts w:hint="default" w:ascii="宋体" w:hAnsi="宋体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改造，进一步改善了居住环境。大福度提升城市品质，通过对群众进行问卷调查,群众对</w:t>
      </w:r>
      <w:r>
        <w:rPr>
          <w:rFonts w:hint="eastAsia" w:ascii="宋体" w:hAnsi="宋体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老旧小区</w:t>
      </w:r>
      <w:r>
        <w:rPr>
          <w:rFonts w:hint="default" w:ascii="宋体" w:hAnsi="宋体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改造工作满意度均比较高，达到了</w:t>
      </w:r>
      <w:r>
        <w:rPr>
          <w:rFonts w:hint="eastAsia" w:ascii="宋体" w:hAnsi="宋体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80</w:t>
      </w:r>
      <w:r>
        <w:rPr>
          <w:rFonts w:hint="default" w:ascii="宋体" w:hAnsi="宋体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%以上。</w:t>
      </w:r>
      <w:r>
        <w:rPr>
          <w:rFonts w:hint="eastAsia" w:ascii="仿宋" w:hAnsi="仿宋" w:eastAsia="仿宋" w:cs="黑体"/>
          <w:b w:val="0"/>
          <w:bCs w:val="0"/>
          <w:sz w:val="32"/>
          <w:szCs w:val="32"/>
        </w:rPr>
        <w:t>对于群众在改造过程中的信访投诉，对居民群众合理诉求，按要求调整改造方案，增加改造内容；对居民群众提出的不符合实际的诉求，做好解释，提高了群众满意度。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自评得分：10分。</w:t>
      </w:r>
    </w:p>
    <w:p w14:paraId="72459A82">
      <w:pPr>
        <w:numPr>
          <w:ilvl w:val="0"/>
          <w:numId w:val="0"/>
        </w:numPr>
        <w:ind w:firstLine="640" w:firstLineChars="200"/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2.</w:t>
      </w:r>
      <w:r>
        <w:rPr>
          <w:rFonts w:hint="eastAsia" w:ascii="仿宋" w:hAnsi="仿宋" w:eastAsia="仿宋" w:cs="仿宋"/>
          <w:bCs/>
          <w:sz w:val="32"/>
          <w:szCs w:val="32"/>
        </w:rPr>
        <w:t>购房补贴</w:t>
      </w: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项目</w:t>
      </w:r>
    </w:p>
    <w:p w14:paraId="44AB4814">
      <w:pPr>
        <w:numPr>
          <w:ilvl w:val="0"/>
          <w:numId w:val="0"/>
        </w:numPr>
        <w:ind w:firstLine="640" w:firstLineChars="200"/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（1）产出指标完成情况。2025年我区共对</w:t>
      </w:r>
      <w:r>
        <w:rPr>
          <w:rFonts w:hint="eastAsia" w:ascii="仿宋" w:hAnsi="仿宋" w:eastAsia="仿宋" w:cs="仿宋"/>
          <w:bCs/>
          <w:sz w:val="32"/>
          <w:szCs w:val="32"/>
        </w:rPr>
        <w:t>新购商品房购房</w:t>
      </w: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家庭发放购房补贴1190.5万元，</w:t>
      </w:r>
      <w:r>
        <w:rPr>
          <w:rFonts w:hint="eastAsia" w:ascii="仿宋" w:hAnsi="仿宋" w:eastAsia="仿宋" w:cs="仿宋"/>
          <w:bCs/>
          <w:sz w:val="32"/>
          <w:szCs w:val="32"/>
        </w:rPr>
        <w:t>购房补贴</w:t>
      </w: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资金发放率</w:t>
      </w:r>
      <w:r>
        <w:rPr>
          <w:rFonts w:hint="eastAsia" w:ascii="仿宋" w:hAnsi="仿宋" w:eastAsia="仿宋" w:cs="仿宋"/>
          <w:bCs/>
          <w:sz w:val="32"/>
          <w:szCs w:val="32"/>
        </w:rPr>
        <w:t>100%</w:t>
      </w:r>
      <w:r>
        <w:rPr>
          <w:rFonts w:hint="eastAsia" w:ascii="仿宋" w:hAnsi="仿宋" w:eastAsia="仿宋" w:cs="仿宋"/>
          <w:bCs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有效促进了商品房的销售。</w:t>
      </w:r>
    </w:p>
    <w:p w14:paraId="0F1525B2">
      <w:pPr>
        <w:pStyle w:val="3"/>
        <w:ind w:left="0" w:leftChars="0" w:firstLine="640" w:firstLineChars="200"/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（2）效益指标完成情况。资金及时足额发放到新购商品房家庭账户，商品房销售套数有效得到了提升，商品房去存量效果明显，社会效益明显效益指标完成。自评得分：40分。</w:t>
      </w:r>
    </w:p>
    <w:p w14:paraId="3A8CC5E1">
      <w:pPr>
        <w:ind w:firstLine="640" w:firstLineChars="200"/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（3）满意度指标完成情况。通过向新购商品房家庭发放购房补贴，在改善群众住房的同时商品房销售数量得到了提升，群众满意度较高。自评得分：10分。</w:t>
      </w:r>
    </w:p>
    <w:p w14:paraId="7FF55D52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firstLine="640" w:firstLineChars="200"/>
        <w:textAlignment w:val="auto"/>
        <w:rPr>
          <w:rFonts w:hint="eastAsia" w:ascii="宋体" w:hAnsi="宋体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3.</w:t>
      </w:r>
      <w:r>
        <w:rPr>
          <w:rFonts w:hint="eastAsia" w:ascii="宋体" w:hAnsi="宋体" w:eastAsia="仿宋_GB2312" w:cs="仿宋_GB2312"/>
          <w:b w:val="0"/>
          <w:bCs w:val="0"/>
          <w:sz w:val="32"/>
          <w:szCs w:val="32"/>
          <w:lang w:eastAsia="zh-CN"/>
        </w:rPr>
        <w:t>危旧住房调查摸底服务项目：</w:t>
      </w:r>
    </w:p>
    <w:p w14:paraId="00694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宋体" w:hAnsi="宋体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（1）</w:t>
      </w:r>
      <w:r>
        <w:rPr>
          <w:rFonts w:hint="default" w:ascii="宋体" w:hAnsi="宋体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产出指标完成情况。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新华区住建局</w:t>
      </w:r>
      <w:r>
        <w:rPr>
          <w:rFonts w:hint="eastAsia" w:ascii="宋体" w:hAnsi="宋体" w:eastAsia="仿宋_GB2312" w:cs="仿宋_GB2312"/>
          <w:b w:val="0"/>
          <w:bCs w:val="0"/>
          <w:sz w:val="32"/>
          <w:szCs w:val="32"/>
          <w:lang w:eastAsia="zh-CN"/>
        </w:rPr>
        <w:t>危旧住房调查摸底服务项目通过</w:t>
      </w:r>
      <w:r>
        <w:rPr>
          <w:rFonts w:hint="eastAsia" w:ascii="宋体" w:hAnsi="宋体" w:eastAsia="仿宋_GB2312" w:cs="仿宋_GB2312"/>
          <w:b w:val="0"/>
          <w:bCs w:val="0"/>
          <w:sz w:val="32"/>
          <w:szCs w:val="32"/>
          <w:lang w:val="en-US" w:eastAsia="zh-CN"/>
        </w:rPr>
        <w:t>遴选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确定石家庄商胜信息技术有限公司为本项目执行人。石家庄商胜信息技术有限公司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根据新华区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对信息平台上的35581个图斑对危旧住房逐一进行定位、排查、多媒体照片拍摄，完成数据调查摸底工作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自评得分：50分。</w:t>
      </w:r>
    </w:p>
    <w:p w14:paraId="0FAD51D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（2）</w:t>
      </w:r>
      <w:r>
        <w:rPr>
          <w:rFonts w:hint="default" w:ascii="宋体" w:hAnsi="宋体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效益指标完成情况。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补充了我局</w:t>
      </w:r>
      <w:r>
        <w:rPr>
          <w:rFonts w:hint="eastAsia" w:ascii="宋体" w:hAnsi="宋体" w:eastAsia="仿宋_GB2312" w:cs="仿宋_GB2312"/>
          <w:b w:val="0"/>
          <w:bCs w:val="0"/>
          <w:sz w:val="32"/>
          <w:szCs w:val="32"/>
          <w:lang w:eastAsia="zh-CN"/>
        </w:rPr>
        <w:t>危旧住房调查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人员及排查设备不足的短板；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能够更加全面细致的对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辖区内危旧房屋的排查、数据采集及录入。自评得分：40分。</w:t>
      </w:r>
    </w:p>
    <w:p w14:paraId="59BB78C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default"/>
          <w:lang w:val="en-US" w:eastAsia="zh-CN"/>
        </w:rPr>
      </w:pPr>
      <w:r>
        <w:rPr>
          <w:rFonts w:hint="eastAsia" w:ascii="宋体" w:hAnsi="宋体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（3）</w:t>
      </w:r>
      <w:r>
        <w:rPr>
          <w:rFonts w:hint="default" w:ascii="宋体" w:hAnsi="宋体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满意度指标完成情况。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新华区住建局</w:t>
      </w:r>
      <w:r>
        <w:rPr>
          <w:rFonts w:hint="eastAsia" w:ascii="宋体" w:hAnsi="宋体" w:eastAsia="仿宋_GB2312" w:cs="仿宋_GB2312"/>
          <w:b w:val="0"/>
          <w:bCs w:val="0"/>
          <w:sz w:val="32"/>
          <w:szCs w:val="32"/>
          <w:lang w:eastAsia="zh-CN"/>
        </w:rPr>
        <w:t>危旧住房调查服务项目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调查摸底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工作，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全部按期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完成。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自评得分：10分。</w:t>
      </w:r>
    </w:p>
    <w:p w14:paraId="524ED5CA">
      <w:pPr>
        <w:spacing w:line="560" w:lineRule="exact"/>
        <w:ind w:firstLine="640" w:firstLineChars="200"/>
        <w:rPr>
          <w:rFonts w:ascii="仿宋" w:hAnsi="仿宋" w:eastAsia="仿宋"/>
          <w:color w:val="0000FF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由于我局涉及专项资金较多，整体报告只对重点项目绩效目标实现情况及指标进行分析，其余项目情况在分项目中单独公开。</w:t>
      </w:r>
    </w:p>
    <w:p w14:paraId="1FB62367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 w14:paraId="662C6B9A"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根据部门职责定位和各项工作履职情况进行综合评价，</w:t>
      </w:r>
      <w:r>
        <w:rPr>
          <w:rFonts w:hint="eastAsia" w:ascii="仿宋" w:hAnsi="仿宋" w:eastAsia="仿宋"/>
          <w:sz w:val="32"/>
          <w:szCs w:val="32"/>
          <w:lang w:eastAsia="zh-CN"/>
        </w:rPr>
        <w:t>住建局整体绩效自评</w:t>
      </w:r>
      <w:r>
        <w:rPr>
          <w:rFonts w:hint="eastAsia" w:ascii="仿宋" w:hAnsi="仿宋" w:eastAsia="仿宋"/>
          <w:sz w:val="32"/>
          <w:szCs w:val="32"/>
        </w:rPr>
        <w:t>总得分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98分</w:t>
      </w:r>
      <w:r>
        <w:rPr>
          <w:rFonts w:hint="eastAsia" w:ascii="仿宋" w:hAnsi="仿宋" w:eastAsia="仿宋"/>
          <w:sz w:val="32"/>
          <w:szCs w:val="32"/>
        </w:rPr>
        <w:t>，</w:t>
      </w:r>
      <w:r>
        <w:rPr>
          <w:rFonts w:hint="eastAsia" w:ascii="仿宋" w:hAnsi="仿宋" w:eastAsia="仿宋"/>
          <w:sz w:val="32"/>
          <w:szCs w:val="32"/>
          <w:lang w:eastAsia="zh-CN"/>
        </w:rPr>
        <w:t>所有</w:t>
      </w:r>
      <w:r>
        <w:rPr>
          <w:rFonts w:hint="eastAsia" w:ascii="仿宋" w:hAnsi="仿宋" w:eastAsia="仿宋"/>
          <w:sz w:val="32"/>
          <w:szCs w:val="32"/>
        </w:rPr>
        <w:t>项目综合绩效评价为优秀。</w:t>
      </w:r>
    </w:p>
    <w:p w14:paraId="07DC42FA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 w14:paraId="21FFB4E2">
      <w:p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（一）存在的主要问题</w:t>
      </w:r>
    </w:p>
    <w:p w14:paraId="38D2360F">
      <w:pPr>
        <w:spacing w:line="560" w:lineRule="exact"/>
        <w:ind w:firstLine="640" w:firstLineChars="200"/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一是预算编制不够精准全面。因政策调整,部分项目已预算但却无法实施，根据城市建设的需要，有些项目无预算却需要实施，导致存在项目预算编制跟着项目走情况。二是部门预算项目时间跨度大。因近年来城市建设项目较多，需要大量的资金投入，而市级资金不能及时到位致使项目资金支付时间跨度大。  </w:t>
      </w:r>
    </w:p>
    <w:p w14:paraId="3320268C">
      <w:pPr>
        <w:numPr>
          <w:ilvl w:val="0"/>
          <w:numId w:val="2"/>
        </w:numPr>
        <w:spacing w:line="560" w:lineRule="exact"/>
        <w:ind w:left="0" w:leftChars="0"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针对问题提出具体的改进措施或建议</w:t>
      </w:r>
    </w:p>
    <w:p w14:paraId="07DA57C9">
      <w:pPr>
        <w:spacing w:line="560" w:lineRule="exact"/>
        <w:ind w:firstLine="800" w:firstLineChars="25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1.合理编制预算，严格执行预算。加强预算编制的前瞻性，严格执行新《预算法》及其实施条例的相关规定，按政策规定及本部门的发展规划，结合上一年度部门预算执行情况和本年度预算收支变化因素，科学、合理地编制本年预算草案，避免项目支出预算支出与实际执行出现较大偏差的情况。</w:t>
      </w:r>
    </w:p>
    <w:p w14:paraId="32458E2F">
      <w:pPr>
        <w:spacing w:line="560" w:lineRule="exact"/>
        <w:ind w:firstLine="800" w:firstLineChars="25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2.完善管理制度，加强资产管理。严格按照《固定资产管理办法》的规定，加强固定资产管理，及时登记、更新台账，加强资产卡片管理，年终前对各类实物资产进行全面盘点，确保“账账相符、账实相符。</w:t>
      </w:r>
    </w:p>
    <w:p w14:paraId="57FE5763">
      <w:pPr>
        <w:spacing w:line="560" w:lineRule="exact"/>
        <w:ind w:firstLine="800" w:firstLineChars="250"/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3.加强业务培训，提升管理水平。加强《预算法》《行政单位会计制度》等业务学习培训，规范部门预算收支核算，制定和完善基本支出、项目支出等各项支出标准，严格按项目和进度执行预算，增强预算的约束力和严肃性。落实预算执行分析，及时了解预算执行差异，合理调整、纠正预算执行偏差，切实提高部门预算收支管理水平。 </w:t>
      </w:r>
    </w:p>
    <w:p w14:paraId="30E60246">
      <w:pPr>
        <w:adjustRightInd w:val="0"/>
        <w:snapToGrid w:val="0"/>
        <w:spacing w:line="560" w:lineRule="exact"/>
        <w:ind w:firstLine="640" w:firstLineChars="200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六、评价工作组人员名单及签字（姓名、工作单位、职务、职称）</w:t>
      </w:r>
    </w:p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4"/>
        <w:gridCol w:w="1545"/>
        <w:gridCol w:w="2325"/>
        <w:gridCol w:w="1243"/>
        <w:gridCol w:w="1705"/>
      </w:tblGrid>
      <w:tr w14:paraId="73E2E0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  <w:gridSpan w:val="5"/>
            <w:noWrap w:val="0"/>
            <w:vAlign w:val="top"/>
          </w:tcPr>
          <w:p w14:paraId="09980CF8">
            <w:pPr>
              <w:tabs>
                <w:tab w:val="left" w:pos="3519"/>
              </w:tabs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ab/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评价工作组人员名单</w:t>
            </w:r>
          </w:p>
        </w:tc>
      </w:tr>
      <w:tr w14:paraId="632CB0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noWrap w:val="0"/>
            <w:vAlign w:val="top"/>
          </w:tcPr>
          <w:p w14:paraId="6DDB44AF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工作单位</w:t>
            </w:r>
          </w:p>
        </w:tc>
        <w:tc>
          <w:tcPr>
            <w:tcW w:w="1545" w:type="dxa"/>
            <w:noWrap w:val="0"/>
            <w:vAlign w:val="top"/>
          </w:tcPr>
          <w:p w14:paraId="26B4D39B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姓名</w:t>
            </w:r>
          </w:p>
        </w:tc>
        <w:tc>
          <w:tcPr>
            <w:tcW w:w="2325" w:type="dxa"/>
            <w:noWrap w:val="0"/>
            <w:vAlign w:val="top"/>
          </w:tcPr>
          <w:p w14:paraId="5730BE85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职务</w:t>
            </w:r>
          </w:p>
        </w:tc>
        <w:tc>
          <w:tcPr>
            <w:tcW w:w="1243" w:type="dxa"/>
            <w:noWrap w:val="0"/>
            <w:vAlign w:val="top"/>
          </w:tcPr>
          <w:p w14:paraId="30BD539F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职称</w:t>
            </w:r>
          </w:p>
        </w:tc>
        <w:tc>
          <w:tcPr>
            <w:tcW w:w="1705" w:type="dxa"/>
            <w:noWrap w:val="0"/>
            <w:vAlign w:val="top"/>
          </w:tcPr>
          <w:p w14:paraId="602DC683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签字</w:t>
            </w:r>
          </w:p>
        </w:tc>
      </w:tr>
      <w:tr w14:paraId="1AC126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noWrap w:val="0"/>
            <w:vAlign w:val="top"/>
          </w:tcPr>
          <w:p w14:paraId="292E170C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  <w:t>住建局</w:t>
            </w:r>
          </w:p>
        </w:tc>
        <w:tc>
          <w:tcPr>
            <w:tcW w:w="1545" w:type="dxa"/>
            <w:noWrap w:val="0"/>
            <w:vAlign w:val="top"/>
          </w:tcPr>
          <w:p w14:paraId="2B9A02BE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李志军</w:t>
            </w:r>
          </w:p>
        </w:tc>
        <w:tc>
          <w:tcPr>
            <w:tcW w:w="2325" w:type="dxa"/>
            <w:noWrap w:val="0"/>
            <w:vAlign w:val="top"/>
          </w:tcPr>
          <w:p w14:paraId="54CF2E93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  <w:t>局长</w:t>
            </w:r>
          </w:p>
        </w:tc>
        <w:tc>
          <w:tcPr>
            <w:tcW w:w="1243" w:type="dxa"/>
            <w:noWrap w:val="0"/>
            <w:vAlign w:val="top"/>
          </w:tcPr>
          <w:p w14:paraId="68DFF304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1705" w:type="dxa"/>
            <w:noWrap w:val="0"/>
            <w:vAlign w:val="top"/>
          </w:tcPr>
          <w:p w14:paraId="1E36C043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</w:tc>
      </w:tr>
      <w:tr w14:paraId="6DFA22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noWrap w:val="0"/>
            <w:vAlign w:val="top"/>
          </w:tcPr>
          <w:p w14:paraId="6E0CD0E2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  <w:t>住建局</w:t>
            </w:r>
          </w:p>
        </w:tc>
        <w:tc>
          <w:tcPr>
            <w:tcW w:w="1545" w:type="dxa"/>
            <w:noWrap w:val="0"/>
            <w:vAlign w:val="top"/>
          </w:tcPr>
          <w:p w14:paraId="7D0C55C5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王斌</w:t>
            </w:r>
          </w:p>
        </w:tc>
        <w:tc>
          <w:tcPr>
            <w:tcW w:w="2325" w:type="dxa"/>
            <w:noWrap w:val="0"/>
            <w:vAlign w:val="top"/>
          </w:tcPr>
          <w:p w14:paraId="1F43BD6C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  <w:t>副局长</w:t>
            </w:r>
          </w:p>
        </w:tc>
        <w:tc>
          <w:tcPr>
            <w:tcW w:w="1243" w:type="dxa"/>
            <w:noWrap w:val="0"/>
            <w:vAlign w:val="top"/>
          </w:tcPr>
          <w:p w14:paraId="063F3DBF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1705" w:type="dxa"/>
            <w:noWrap w:val="0"/>
            <w:vAlign w:val="top"/>
          </w:tcPr>
          <w:p w14:paraId="7C9F93C8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</w:tc>
      </w:tr>
      <w:tr w14:paraId="75183E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noWrap w:val="0"/>
            <w:vAlign w:val="top"/>
          </w:tcPr>
          <w:p w14:paraId="2733535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住建局</w:t>
            </w:r>
          </w:p>
        </w:tc>
        <w:tc>
          <w:tcPr>
            <w:tcW w:w="1545" w:type="dxa"/>
            <w:noWrap w:val="0"/>
            <w:vAlign w:val="top"/>
          </w:tcPr>
          <w:p w14:paraId="5FD27D0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孙鹏华</w:t>
            </w:r>
          </w:p>
        </w:tc>
        <w:tc>
          <w:tcPr>
            <w:tcW w:w="2325" w:type="dxa"/>
            <w:noWrap w:val="0"/>
            <w:vAlign w:val="top"/>
          </w:tcPr>
          <w:p w14:paraId="2BBA41B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副局长</w:t>
            </w:r>
          </w:p>
        </w:tc>
        <w:tc>
          <w:tcPr>
            <w:tcW w:w="1243" w:type="dxa"/>
            <w:noWrap w:val="0"/>
            <w:vAlign w:val="top"/>
          </w:tcPr>
          <w:p w14:paraId="7FB586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</w:rPr>
            </w:pPr>
          </w:p>
        </w:tc>
        <w:tc>
          <w:tcPr>
            <w:tcW w:w="1705" w:type="dxa"/>
            <w:noWrap w:val="0"/>
            <w:vAlign w:val="top"/>
          </w:tcPr>
          <w:p w14:paraId="30C5A6C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</w:rPr>
            </w:pPr>
          </w:p>
        </w:tc>
      </w:tr>
      <w:tr w14:paraId="656300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noWrap w:val="0"/>
            <w:vAlign w:val="top"/>
          </w:tcPr>
          <w:p w14:paraId="63C3225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住建局</w:t>
            </w:r>
          </w:p>
        </w:tc>
        <w:tc>
          <w:tcPr>
            <w:tcW w:w="1545" w:type="dxa"/>
            <w:noWrap w:val="0"/>
            <w:vAlign w:val="top"/>
          </w:tcPr>
          <w:p w14:paraId="229BC3F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outlineLvl w:val="9"/>
              <w:rPr>
                <w:rFonts w:hint="default" w:ascii="仿宋_GB2312" w:hAnsi="仿宋_GB2312" w:eastAsia="仿宋_GB2312" w:cs="仿宋_GB2312"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32"/>
                <w:szCs w:val="32"/>
                <w:vertAlign w:val="baseline"/>
                <w:lang w:val="en-US" w:eastAsia="zh-CN" w:bidi="ar-SA"/>
              </w:rPr>
              <w:t>聂天成</w:t>
            </w:r>
          </w:p>
        </w:tc>
        <w:tc>
          <w:tcPr>
            <w:tcW w:w="2325" w:type="dxa"/>
            <w:noWrap w:val="0"/>
            <w:vAlign w:val="top"/>
          </w:tcPr>
          <w:p w14:paraId="721A9D2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质安站站长</w:t>
            </w:r>
          </w:p>
        </w:tc>
        <w:tc>
          <w:tcPr>
            <w:tcW w:w="1243" w:type="dxa"/>
            <w:noWrap w:val="0"/>
            <w:vAlign w:val="top"/>
          </w:tcPr>
          <w:p w14:paraId="0D77D12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</w:rPr>
            </w:pPr>
          </w:p>
        </w:tc>
        <w:tc>
          <w:tcPr>
            <w:tcW w:w="1705" w:type="dxa"/>
            <w:noWrap w:val="0"/>
            <w:vAlign w:val="top"/>
          </w:tcPr>
          <w:p w14:paraId="72BE1F7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</w:rPr>
            </w:pPr>
          </w:p>
        </w:tc>
      </w:tr>
      <w:tr w14:paraId="478CDE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noWrap w:val="0"/>
            <w:vAlign w:val="top"/>
          </w:tcPr>
          <w:p w14:paraId="485B80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住建局</w:t>
            </w:r>
          </w:p>
        </w:tc>
        <w:tc>
          <w:tcPr>
            <w:tcW w:w="1545" w:type="dxa"/>
            <w:noWrap w:val="0"/>
            <w:vAlign w:val="top"/>
          </w:tcPr>
          <w:p w14:paraId="3C3AD0B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李培格</w:t>
            </w:r>
          </w:p>
        </w:tc>
        <w:tc>
          <w:tcPr>
            <w:tcW w:w="2325" w:type="dxa"/>
            <w:noWrap w:val="0"/>
            <w:vAlign w:val="top"/>
          </w:tcPr>
          <w:p w14:paraId="25F333E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outlineLvl w:val="9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综合监管中心主任</w:t>
            </w:r>
          </w:p>
        </w:tc>
        <w:tc>
          <w:tcPr>
            <w:tcW w:w="1243" w:type="dxa"/>
            <w:noWrap w:val="0"/>
            <w:vAlign w:val="top"/>
          </w:tcPr>
          <w:p w14:paraId="3D0DA50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</w:rPr>
            </w:pPr>
          </w:p>
        </w:tc>
        <w:tc>
          <w:tcPr>
            <w:tcW w:w="1705" w:type="dxa"/>
            <w:noWrap w:val="0"/>
            <w:vAlign w:val="top"/>
          </w:tcPr>
          <w:p w14:paraId="2CA4189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</w:rPr>
            </w:pPr>
          </w:p>
        </w:tc>
      </w:tr>
      <w:tr w14:paraId="2AC8C6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noWrap w:val="0"/>
            <w:vAlign w:val="top"/>
          </w:tcPr>
          <w:p w14:paraId="08C48E8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住建局</w:t>
            </w:r>
          </w:p>
        </w:tc>
        <w:tc>
          <w:tcPr>
            <w:tcW w:w="1545" w:type="dxa"/>
            <w:noWrap w:val="0"/>
            <w:vAlign w:val="top"/>
          </w:tcPr>
          <w:p w14:paraId="4B428FB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梁田</w:t>
            </w:r>
          </w:p>
        </w:tc>
        <w:tc>
          <w:tcPr>
            <w:tcW w:w="2325" w:type="dxa"/>
            <w:noWrap w:val="0"/>
            <w:vAlign w:val="top"/>
          </w:tcPr>
          <w:p w14:paraId="7EE1F8A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办公室主任</w:t>
            </w:r>
          </w:p>
        </w:tc>
        <w:tc>
          <w:tcPr>
            <w:tcW w:w="1243" w:type="dxa"/>
            <w:noWrap w:val="0"/>
            <w:vAlign w:val="top"/>
          </w:tcPr>
          <w:p w14:paraId="719C2B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</w:rPr>
            </w:pPr>
          </w:p>
        </w:tc>
        <w:tc>
          <w:tcPr>
            <w:tcW w:w="1705" w:type="dxa"/>
            <w:noWrap w:val="0"/>
            <w:vAlign w:val="top"/>
          </w:tcPr>
          <w:p w14:paraId="2E831BD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</w:rPr>
            </w:pPr>
          </w:p>
        </w:tc>
      </w:tr>
      <w:tr w14:paraId="72C830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noWrap w:val="0"/>
            <w:vAlign w:val="top"/>
          </w:tcPr>
          <w:p w14:paraId="7FAF47D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住建局</w:t>
            </w:r>
          </w:p>
        </w:tc>
        <w:tc>
          <w:tcPr>
            <w:tcW w:w="1545" w:type="dxa"/>
            <w:noWrap w:val="0"/>
            <w:vAlign w:val="top"/>
          </w:tcPr>
          <w:p w14:paraId="7673CF4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张连会</w:t>
            </w:r>
          </w:p>
        </w:tc>
        <w:tc>
          <w:tcPr>
            <w:tcW w:w="2325" w:type="dxa"/>
            <w:noWrap w:val="0"/>
            <w:vAlign w:val="top"/>
          </w:tcPr>
          <w:p w14:paraId="175F173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房管股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代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股长</w:t>
            </w:r>
          </w:p>
        </w:tc>
        <w:tc>
          <w:tcPr>
            <w:tcW w:w="1243" w:type="dxa"/>
            <w:noWrap w:val="0"/>
            <w:vAlign w:val="top"/>
          </w:tcPr>
          <w:p w14:paraId="2F988A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</w:rPr>
            </w:pPr>
          </w:p>
        </w:tc>
        <w:tc>
          <w:tcPr>
            <w:tcW w:w="1705" w:type="dxa"/>
            <w:noWrap w:val="0"/>
            <w:vAlign w:val="top"/>
          </w:tcPr>
          <w:p w14:paraId="483A8D3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</w:rPr>
            </w:pPr>
          </w:p>
        </w:tc>
      </w:tr>
      <w:tr w14:paraId="3759E0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noWrap w:val="0"/>
            <w:vAlign w:val="top"/>
          </w:tcPr>
          <w:p w14:paraId="5CD3AF9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住建局</w:t>
            </w:r>
          </w:p>
        </w:tc>
        <w:tc>
          <w:tcPr>
            <w:tcW w:w="1545" w:type="dxa"/>
            <w:noWrap w:val="0"/>
            <w:vAlign w:val="top"/>
          </w:tcPr>
          <w:p w14:paraId="1320EAD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张宏涛</w:t>
            </w:r>
          </w:p>
        </w:tc>
        <w:tc>
          <w:tcPr>
            <w:tcW w:w="2325" w:type="dxa"/>
            <w:noWrap w:val="0"/>
            <w:vAlign w:val="top"/>
          </w:tcPr>
          <w:p w14:paraId="663E46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更新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组组长</w:t>
            </w:r>
          </w:p>
        </w:tc>
        <w:tc>
          <w:tcPr>
            <w:tcW w:w="1243" w:type="dxa"/>
            <w:noWrap w:val="0"/>
            <w:vAlign w:val="top"/>
          </w:tcPr>
          <w:p w14:paraId="3B8182F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</w:rPr>
            </w:pPr>
          </w:p>
        </w:tc>
        <w:tc>
          <w:tcPr>
            <w:tcW w:w="1705" w:type="dxa"/>
            <w:noWrap w:val="0"/>
            <w:vAlign w:val="top"/>
          </w:tcPr>
          <w:p w14:paraId="72CC9B1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</w:rPr>
            </w:pPr>
          </w:p>
        </w:tc>
      </w:tr>
      <w:tr w14:paraId="398077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noWrap w:val="0"/>
            <w:vAlign w:val="top"/>
          </w:tcPr>
          <w:p w14:paraId="4A0332A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住建局</w:t>
            </w:r>
          </w:p>
        </w:tc>
        <w:tc>
          <w:tcPr>
            <w:tcW w:w="1545" w:type="dxa"/>
            <w:noWrap w:val="0"/>
            <w:vAlign w:val="top"/>
          </w:tcPr>
          <w:p w14:paraId="3E4E220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韩志勇</w:t>
            </w:r>
          </w:p>
        </w:tc>
        <w:tc>
          <w:tcPr>
            <w:tcW w:w="2325" w:type="dxa"/>
            <w:noWrap w:val="0"/>
            <w:vAlign w:val="top"/>
          </w:tcPr>
          <w:p w14:paraId="01E3782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质监股股长</w:t>
            </w:r>
          </w:p>
        </w:tc>
        <w:tc>
          <w:tcPr>
            <w:tcW w:w="1243" w:type="dxa"/>
            <w:noWrap w:val="0"/>
            <w:vAlign w:val="top"/>
          </w:tcPr>
          <w:p w14:paraId="6293C8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</w:rPr>
            </w:pPr>
          </w:p>
        </w:tc>
        <w:tc>
          <w:tcPr>
            <w:tcW w:w="1705" w:type="dxa"/>
            <w:noWrap w:val="0"/>
            <w:vAlign w:val="top"/>
          </w:tcPr>
          <w:p w14:paraId="3F090D5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</w:rPr>
            </w:pPr>
          </w:p>
        </w:tc>
      </w:tr>
      <w:tr w14:paraId="4BED50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noWrap w:val="0"/>
            <w:vAlign w:val="top"/>
          </w:tcPr>
          <w:p w14:paraId="120EE45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住建局</w:t>
            </w:r>
          </w:p>
        </w:tc>
        <w:tc>
          <w:tcPr>
            <w:tcW w:w="1545" w:type="dxa"/>
            <w:noWrap w:val="0"/>
            <w:vAlign w:val="top"/>
          </w:tcPr>
          <w:p w14:paraId="5E39C61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张广宁</w:t>
            </w:r>
          </w:p>
        </w:tc>
        <w:tc>
          <w:tcPr>
            <w:tcW w:w="2325" w:type="dxa"/>
            <w:noWrap w:val="0"/>
            <w:vAlign w:val="top"/>
          </w:tcPr>
          <w:p w14:paraId="361271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安监股股长</w:t>
            </w:r>
          </w:p>
        </w:tc>
        <w:tc>
          <w:tcPr>
            <w:tcW w:w="1243" w:type="dxa"/>
            <w:noWrap w:val="0"/>
            <w:vAlign w:val="top"/>
          </w:tcPr>
          <w:p w14:paraId="30BF7A1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</w:rPr>
            </w:pPr>
          </w:p>
        </w:tc>
        <w:tc>
          <w:tcPr>
            <w:tcW w:w="1705" w:type="dxa"/>
            <w:noWrap w:val="0"/>
            <w:vAlign w:val="top"/>
          </w:tcPr>
          <w:p w14:paraId="17CA776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</w:rPr>
            </w:pPr>
          </w:p>
        </w:tc>
      </w:tr>
      <w:tr w14:paraId="29E670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noWrap w:val="0"/>
            <w:vAlign w:val="top"/>
          </w:tcPr>
          <w:p w14:paraId="0058230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住建局</w:t>
            </w:r>
          </w:p>
        </w:tc>
        <w:tc>
          <w:tcPr>
            <w:tcW w:w="1545" w:type="dxa"/>
            <w:noWrap w:val="0"/>
            <w:vAlign w:val="top"/>
          </w:tcPr>
          <w:p w14:paraId="5B38BFD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刘彦</w:t>
            </w:r>
          </w:p>
        </w:tc>
        <w:tc>
          <w:tcPr>
            <w:tcW w:w="2325" w:type="dxa"/>
            <w:noWrap w:val="0"/>
            <w:vAlign w:val="top"/>
          </w:tcPr>
          <w:p w14:paraId="729EB5A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消防组组长</w:t>
            </w:r>
          </w:p>
        </w:tc>
        <w:tc>
          <w:tcPr>
            <w:tcW w:w="1243" w:type="dxa"/>
            <w:noWrap w:val="0"/>
            <w:vAlign w:val="top"/>
          </w:tcPr>
          <w:p w14:paraId="30A98A8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</w:rPr>
            </w:pPr>
          </w:p>
        </w:tc>
        <w:tc>
          <w:tcPr>
            <w:tcW w:w="1705" w:type="dxa"/>
            <w:noWrap w:val="0"/>
            <w:vAlign w:val="top"/>
          </w:tcPr>
          <w:p w14:paraId="5BE2801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</w:rPr>
            </w:pPr>
          </w:p>
        </w:tc>
      </w:tr>
    </w:tbl>
    <w:p w14:paraId="5F57CECA">
      <w:pPr>
        <w:spacing w:line="560" w:lineRule="exact"/>
        <w:rPr>
          <w:rFonts w:ascii="仿宋" w:hAnsi="仿宋" w:eastAsia="仿宋"/>
        </w:rPr>
      </w:pPr>
    </w:p>
    <w:p w14:paraId="4D9012CB">
      <w:pPr>
        <w:jc w:val="right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 w14:paraId="21757985">
      <w:pPr>
        <w:jc w:val="right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 w14:paraId="3397D741">
      <w:pPr>
        <w:jc w:val="right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新华区住房和城区建设局</w:t>
      </w:r>
    </w:p>
    <w:p w14:paraId="05907A71">
      <w:pPr>
        <w:pStyle w:val="3"/>
        <w:jc w:val="righ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2026年5月10日</w:t>
      </w:r>
    </w:p>
    <w:p w14:paraId="24DA3BD0">
      <w:pPr>
        <w:pStyle w:val="3"/>
        <w:rPr>
          <w:rFonts w:hint="default"/>
          <w:lang w:val="en-US"/>
        </w:rPr>
      </w:pPr>
    </w:p>
    <w:p w14:paraId="7EDF2D34">
      <w:pPr>
        <w:numPr>
          <w:ilvl w:val="0"/>
          <w:numId w:val="0"/>
        </w:numPr>
        <w:adjustRightInd w:val="0"/>
        <w:snapToGrid w:val="0"/>
        <w:spacing w:line="560" w:lineRule="exact"/>
        <w:rPr>
          <w:rFonts w:hint="eastAsia" w:ascii="黑体" w:hAnsi="黑体" w:eastAsia="黑体"/>
          <w:sz w:val="32"/>
          <w:szCs w:val="32"/>
        </w:rPr>
      </w:pPr>
    </w:p>
    <w:p w14:paraId="7557E259">
      <w:pPr>
        <w:pStyle w:val="3"/>
        <w:ind w:left="0" w:leftChars="0" w:firstLine="640" w:firstLineChars="200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</w:p>
    <w:p w14:paraId="29C8071D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ArialUnicodeMS">
    <w:altName w:val="Malgun Gothic"/>
    <w:panose1 w:val="00000000000000000000"/>
    <w:charset w:val="81"/>
    <w:family w:val="auto"/>
    <w:pitch w:val="default"/>
    <w:sig w:usb0="00000000" w:usb1="00000000" w:usb2="00000010" w:usb3="00000000" w:csb0="0008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0042011"/>
    <w:multiLevelType w:val="singleLevel"/>
    <w:tmpl w:val="C0042011"/>
    <w:lvl w:ilvl="0" w:tentative="0">
      <w:start w:val="2"/>
      <w:numFmt w:val="chineseCounting"/>
      <w:suff w:val="nothing"/>
      <w:lvlText w:val="（%1）"/>
      <w:lvlJc w:val="left"/>
      <w:pPr>
        <w:ind w:left="640" w:leftChars="0" w:firstLine="0" w:firstLineChars="0"/>
      </w:pPr>
      <w:rPr>
        <w:rFonts w:hint="eastAsia"/>
      </w:rPr>
    </w:lvl>
  </w:abstractNum>
  <w:abstractNum w:abstractNumId="1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rPr>
        <w:rFonts w:ascii="楷体" w:hAnsi="楷体" w:eastAsia="楷体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9A44F5C"/>
    <w:rsid w:val="25A17F68"/>
    <w:rsid w:val="49A44F5C"/>
    <w:rsid w:val="68BC3CFF"/>
    <w:rsid w:val="706148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qFormat="1"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toc 2"/>
    <w:basedOn w:val="1"/>
    <w:next w:val="1"/>
    <w:qFormat/>
    <w:uiPriority w:val="0"/>
    <w:pPr>
      <w:ind w:left="420" w:leftChars="200"/>
    </w:pPr>
    <w:rPr>
      <w:rFonts w:ascii="Calibri" w:hAnsi="Calibri" w:eastAsia="宋体" w:cs="Times New Roman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9</Pages>
  <Words>0</Words>
  <Characters>0</Characters>
  <Lines>0</Lines>
  <Paragraphs>0</Paragraphs>
  <TotalTime>13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2026-05-10T10:09:00Z</dcterms:created>
  <dc:creator>lenovo</dc:creator>
  <cp:lastModifiedBy>lenovo</cp:lastModifiedBy>
  <dcterms:modified xsi:type="dcterms:W3CDTF">2026-05-26T02:24:03Z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6D6869909BBE4656B18500E1B0E01A4E_11</vt:lpwstr>
  </property>
</Properties>
</file>