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22C21C">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0658804C">
      <w:pPr>
        <w:spacing w:line="560" w:lineRule="exact"/>
        <w:jc w:val="center"/>
        <w:rPr>
          <w:rFonts w:ascii="宋体" w:hAnsi="宋体" w:cs="宋体"/>
          <w:b/>
          <w:bCs/>
          <w:sz w:val="44"/>
          <w:szCs w:val="44"/>
        </w:rPr>
      </w:pPr>
    </w:p>
    <w:p w14:paraId="47D4E091">
      <w:pPr>
        <w:spacing w:line="560" w:lineRule="exact"/>
        <w:jc w:val="center"/>
        <w:rPr>
          <w:rFonts w:ascii="宋体" w:hAnsi="宋体" w:cs="宋体"/>
          <w:b/>
          <w:bCs/>
          <w:sz w:val="44"/>
          <w:szCs w:val="44"/>
        </w:rPr>
      </w:pPr>
      <w:r>
        <w:rPr>
          <w:rFonts w:hint="eastAsia" w:ascii="宋体" w:hAnsi="宋体" w:cs="宋体"/>
          <w:b/>
          <w:bCs/>
          <w:sz w:val="44"/>
          <w:szCs w:val="44"/>
          <w:lang w:eastAsia="zh-CN"/>
        </w:rPr>
        <w:t>新华区民政局</w:t>
      </w:r>
    </w:p>
    <w:p w14:paraId="71578970">
      <w:pPr>
        <w:spacing w:line="560" w:lineRule="exact"/>
        <w:jc w:val="center"/>
        <w:rPr>
          <w:rFonts w:ascii="宋体" w:hAnsi="宋体" w:cs="宋体"/>
          <w:b/>
          <w:bCs/>
          <w:sz w:val="44"/>
          <w:szCs w:val="44"/>
        </w:rPr>
      </w:pPr>
      <w:r>
        <w:rPr>
          <w:rFonts w:hint="eastAsia" w:ascii="宋体" w:hAnsi="宋体" w:cs="宋体"/>
          <w:b/>
          <w:bCs/>
          <w:sz w:val="44"/>
          <w:szCs w:val="44"/>
        </w:rPr>
        <w:t>2025年度整体支出绩效自评报告</w:t>
      </w:r>
    </w:p>
    <w:p w14:paraId="7DB97C26">
      <w:pPr>
        <w:spacing w:line="560" w:lineRule="exact"/>
        <w:jc w:val="center"/>
        <w:rPr>
          <w:rFonts w:ascii="华文楷体" w:eastAsia="华文楷体"/>
          <w:sz w:val="32"/>
          <w:szCs w:val="32"/>
        </w:rPr>
      </w:pPr>
    </w:p>
    <w:p w14:paraId="49821B4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贯彻落实区委区政府《关于全面落实预算绩效管理的实施意见》（新华发〔2019〕9号）文件精神，遵循“科学性、规范性、客观性和公正性”的原则，对</w:t>
      </w:r>
      <w:r>
        <w:rPr>
          <w:rFonts w:hint="eastAsia" w:ascii="仿宋" w:hAnsi="仿宋" w:eastAsia="仿宋"/>
          <w:sz w:val="32"/>
          <w:szCs w:val="32"/>
          <w:lang w:eastAsia="zh-CN"/>
        </w:rPr>
        <w:t>新华区民政局</w:t>
      </w:r>
      <w:r>
        <w:rPr>
          <w:rFonts w:hint="eastAsia" w:ascii="仿宋" w:hAnsi="仿宋" w:eastAsia="仿宋"/>
          <w:sz w:val="32"/>
          <w:szCs w:val="32"/>
        </w:rPr>
        <w:t>2025年整体支出情况实施了财政支出绩效自评价，形成本评价报告。</w:t>
      </w:r>
    </w:p>
    <w:p w14:paraId="104816E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E4236F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57F6C855">
      <w:pPr>
        <w:adjustRightInd w:val="0"/>
        <w:snapToGrid w:val="0"/>
        <w:spacing w:line="560" w:lineRule="exact"/>
        <w:ind w:firstLine="640" w:firstLineChars="200"/>
        <w:rPr>
          <w:rFonts w:hint="eastAsia" w:ascii="仿宋_GB2312" w:hAnsi="仿宋_GB2312" w:eastAsia="仿宋_GB2312" w:cs="仿宋_GB2312"/>
          <w:b w:val="0"/>
          <w:bCs w:val="0"/>
          <w:color w:val="000000"/>
          <w:sz w:val="32"/>
          <w:szCs w:val="32"/>
        </w:rPr>
      </w:pPr>
      <w:r>
        <w:rPr>
          <w:rFonts w:hint="eastAsia" w:ascii="仿宋_GB2312" w:hAnsi="仿宋_GB2312" w:eastAsia="仿宋_GB2312" w:cs="仿宋_GB2312"/>
          <w:sz w:val="32"/>
          <w:szCs w:val="32"/>
          <w:lang w:eastAsia="zh-CN"/>
        </w:rPr>
        <w:t>贯彻执行国家和省、市民政事业发展法律法规、政策、规划</w:t>
      </w:r>
      <w:r>
        <w:rPr>
          <w:rFonts w:hint="eastAsia" w:ascii="仿宋_GB2312" w:hAnsi="仿宋_GB2312" w:cs="仿宋_GB2312"/>
          <w:sz w:val="32"/>
          <w:szCs w:val="32"/>
          <w:lang w:eastAsia="zh-CN"/>
        </w:rPr>
        <w:t>；</w:t>
      </w:r>
      <w:r>
        <w:rPr>
          <w:rFonts w:hint="eastAsia" w:ascii="仿宋_GB2312" w:hAnsi="仿宋_GB2312" w:eastAsia="仿宋_GB2312" w:cs="仿宋_GB2312"/>
          <w:sz w:val="32"/>
          <w:szCs w:val="32"/>
          <w:lang w:eastAsia="zh-CN"/>
        </w:rPr>
        <w:t>依法对全区社会组织进行管理和监督检查</w:t>
      </w:r>
      <w:r>
        <w:rPr>
          <w:rFonts w:hint="eastAsia" w:ascii="仿宋_GB2312" w:hAnsi="仿宋_GB2312" w:cs="仿宋_GB2312"/>
          <w:sz w:val="32"/>
          <w:szCs w:val="32"/>
          <w:lang w:eastAsia="zh-CN"/>
        </w:rPr>
        <w:t>；</w:t>
      </w:r>
      <w:r>
        <w:rPr>
          <w:rFonts w:hint="eastAsia" w:ascii="仿宋_GB2312" w:hAnsi="仿宋_GB2312" w:eastAsia="仿宋_GB2312" w:cs="仿宋_GB2312"/>
          <w:sz w:val="32"/>
          <w:szCs w:val="32"/>
          <w:lang w:eastAsia="zh-CN"/>
        </w:rPr>
        <w:t>牵头拟订全区社会救助有关政策和标准，统筹社会救助体系建设，负责城乡居民最低生活保障、特困人员救助供养、临时救助工</w:t>
      </w:r>
      <w:r>
        <w:rPr>
          <w:rFonts w:hint="eastAsia" w:ascii="仿宋_GB2312" w:hAnsi="仿宋_GB2312" w:cs="仿宋_GB2312"/>
          <w:sz w:val="32"/>
          <w:szCs w:val="32"/>
          <w:lang w:eastAsia="zh-CN"/>
        </w:rPr>
        <w:t>作；</w:t>
      </w:r>
      <w:r>
        <w:rPr>
          <w:rFonts w:hint="eastAsia" w:ascii="仿宋_GB2312" w:hAnsi="仿宋_GB2312" w:eastAsia="仿宋_GB2312" w:cs="仿宋_GB2312"/>
          <w:sz w:val="32"/>
          <w:szCs w:val="32"/>
          <w:lang w:eastAsia="zh-CN"/>
        </w:rPr>
        <w:t>统筹推进、督促指导、监督管理全区养老服务工作会同相关部门做好残疾人权益保护相关工作；</w:t>
      </w:r>
      <w:r>
        <w:rPr>
          <w:rFonts w:hint="eastAsia" w:ascii="仿宋_GB2312" w:hAnsi="仿宋_GB2312" w:eastAsia="仿宋_GB2312" w:cs="仿宋_GB2312"/>
          <w:b w:val="0"/>
          <w:bCs w:val="0"/>
          <w:color w:val="000000"/>
          <w:sz w:val="32"/>
          <w:szCs w:val="32"/>
        </w:rPr>
        <w:t>负责婚姻登记管理工作,推进婚俗改革</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rPr>
        <w:t>贯彻落实全市殡葬管理地方性政策法规、殡葬服务规范,推进殡葬改革</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rPr>
        <w:t>负责促进全区慈善事业发展,组织开展慈善捐助工作,负责社会公益性慈 善捐赠监管工作。</w:t>
      </w:r>
    </w:p>
    <w:p w14:paraId="104648C9">
      <w:pPr>
        <w:ind w:firstLine="640" w:firstLineChars="200"/>
        <w:rPr>
          <w:rFonts w:hint="eastAsia" w:ascii="仿宋_GB2312" w:hAnsi="仿宋_GB2312" w:eastAsia="仿宋_GB2312" w:cs="仿宋_GB2312"/>
          <w:b w:val="0"/>
          <w:bCs w:val="0"/>
          <w:color w:val="000000"/>
          <w:sz w:val="32"/>
          <w:szCs w:val="32"/>
        </w:rPr>
      </w:pPr>
      <w:r>
        <w:rPr>
          <w:rFonts w:hint="eastAsia" w:ascii="仿宋_GB2312" w:hAnsi="仿宋_GB2312" w:eastAsia="仿宋_GB2312" w:cs="仿宋_GB2312"/>
          <w:sz w:val="32"/>
          <w:szCs w:val="32"/>
          <w:lang w:eastAsia="zh-CN"/>
        </w:rPr>
        <w:t>新华区民政局</w:t>
      </w:r>
      <w:r>
        <w:rPr>
          <w:rFonts w:hint="eastAsia" w:ascii="仿宋_GB2312" w:hAnsi="仿宋_GB2312" w:eastAsia="仿宋_GB2312" w:cs="仿宋_GB2312"/>
          <w:sz w:val="32"/>
          <w:szCs w:val="32"/>
        </w:rPr>
        <w:t>机关内设</w:t>
      </w:r>
      <w:r>
        <w:rPr>
          <w:rFonts w:hint="eastAsia" w:ascii="仿宋_GB2312" w:hAnsi="仿宋_GB2312" w:eastAsia="仿宋_GB2312" w:cs="仿宋_GB2312"/>
          <w:sz w:val="32"/>
          <w:szCs w:val="32"/>
          <w:lang w:eastAsia="zh-CN"/>
        </w:rPr>
        <w:t>办公室一</w:t>
      </w:r>
      <w:r>
        <w:rPr>
          <w:rFonts w:hint="eastAsia" w:ascii="仿宋_GB2312" w:hAnsi="仿宋_GB2312" w:eastAsia="仿宋_GB2312" w:cs="仿宋_GB2312"/>
          <w:sz w:val="32"/>
          <w:szCs w:val="32"/>
        </w:rPr>
        <w:t>个职能处室，</w:t>
      </w:r>
      <w:r>
        <w:rPr>
          <w:rFonts w:hint="eastAsia" w:ascii="仿宋_GB2312" w:hAnsi="仿宋_GB2312" w:eastAsia="仿宋_GB2312" w:cs="仿宋_GB2312"/>
          <w:b w:val="0"/>
          <w:bCs w:val="0"/>
          <w:color w:val="000000"/>
          <w:sz w:val="32"/>
          <w:szCs w:val="32"/>
          <w:lang w:eastAsia="zh-CN"/>
        </w:rPr>
        <w:t>一个下属事业单位：石家庄市新华区社会救助核查中心。</w:t>
      </w:r>
    </w:p>
    <w:p w14:paraId="21AC68A8">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09DE04E3">
      <w:pPr>
        <w:numPr>
          <w:numId w:val="0"/>
        </w:numPr>
        <w:adjustRightInd w:val="0"/>
        <w:snapToGrid w:val="0"/>
        <w:spacing w:line="560" w:lineRule="exact"/>
        <w:rPr>
          <w:rFonts w:hint="default" w:ascii="楷体" w:hAnsi="楷体" w:eastAsia="楷体" w:cs="楷体_GB2312"/>
          <w:bCs/>
          <w:sz w:val="32"/>
          <w:szCs w:val="32"/>
          <w:lang w:val="en-US" w:eastAsia="zh-CN"/>
        </w:rPr>
      </w:pPr>
      <w:r>
        <w:rPr>
          <w:rFonts w:hint="eastAsia" w:ascii="楷体" w:hAnsi="楷体" w:eastAsia="楷体" w:cs="楷体_GB2312"/>
          <w:bCs/>
          <w:sz w:val="32"/>
          <w:szCs w:val="32"/>
          <w:lang w:val="en-US" w:eastAsia="zh-CN"/>
        </w:rPr>
        <w:t xml:space="preserve">    </w:t>
      </w:r>
      <w:r>
        <w:rPr>
          <w:rFonts w:hint="eastAsia" w:ascii="仿宋" w:hAnsi="仿宋" w:eastAsia="仿宋" w:cs="仿宋"/>
          <w:bCs/>
          <w:color w:val="auto"/>
          <w:sz w:val="32"/>
          <w:szCs w:val="32"/>
          <w:lang w:val="en-US" w:eastAsia="zh-CN"/>
        </w:rPr>
        <w:t>2025年度一般公共预算财政拨款收入5733.58万元。本年支出合计5733.58万元，其中基本支出239.86万元、项目支出5493.72万元。</w:t>
      </w:r>
      <w:bookmarkStart w:id="0" w:name="_GoBack"/>
      <w:bookmarkEnd w:id="0"/>
    </w:p>
    <w:p w14:paraId="1D1EDCF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29C73E6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cs="仿宋"/>
          <w:b w:val="0"/>
          <w:bCs/>
          <w:sz w:val="32"/>
          <w:szCs w:val="32"/>
          <w:lang w:val="en-US" w:eastAsia="zh-CN"/>
        </w:rPr>
        <w:t>总体来看，新华区民政局部门整体绩效目标完成情况较好，产出指标、效益指标、满意度指标基本达到预期目标，预算执行率指标部分项目未达到预期目标,主要原因是年初预算计划存在偏差</w:t>
      </w:r>
      <w:r>
        <w:rPr>
          <w:rFonts w:hint="eastAsia" w:ascii="仿宋" w:hAnsi="仿宋" w:eastAsia="仿宋"/>
          <w:sz w:val="32"/>
          <w:szCs w:val="32"/>
        </w:rPr>
        <w:t>。</w:t>
      </w:r>
    </w:p>
    <w:p w14:paraId="2F4A2F6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5A4F82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6C1B306D">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_GB2312" w:eastAsia="仿宋_GB2312"/>
          <w:sz w:val="32"/>
          <w:szCs w:val="32"/>
        </w:rPr>
        <w:t>为深入贯彻党的</w:t>
      </w:r>
      <w:r>
        <w:rPr>
          <w:rFonts w:hint="eastAsia" w:ascii="仿宋_GB2312" w:eastAsia="仿宋_GB2312"/>
          <w:sz w:val="32"/>
          <w:szCs w:val="32"/>
          <w:lang w:val="en-US" w:eastAsia="zh-CN"/>
        </w:rPr>
        <w:t>二十</w:t>
      </w:r>
      <w:r>
        <w:rPr>
          <w:rFonts w:hint="eastAsia" w:ascii="仿宋_GB2312" w:eastAsia="仿宋_GB2312"/>
          <w:sz w:val="32"/>
          <w:szCs w:val="32"/>
        </w:rPr>
        <w:t>大精神，落实中共新华区委、新华区人民政府《关于全面落实预算绩效管理的实施意见》（新华区</w:t>
      </w:r>
      <w:r>
        <w:rPr>
          <w:rFonts w:hint="eastAsia" w:ascii="仿宋_GB2312" w:eastAsia="仿宋_GB2312"/>
          <w:sz w:val="32"/>
          <w:szCs w:val="32"/>
          <w:lang w:val="en-US" w:eastAsia="zh-CN"/>
        </w:rPr>
        <w:t>[</w:t>
      </w:r>
      <w:r>
        <w:rPr>
          <w:rFonts w:hint="eastAsia" w:ascii="仿宋_GB2312" w:eastAsia="仿宋_GB2312"/>
          <w:sz w:val="32"/>
          <w:szCs w:val="32"/>
        </w:rPr>
        <w:t>2019</w:t>
      </w:r>
      <w:r>
        <w:rPr>
          <w:rFonts w:hint="eastAsia" w:ascii="仿宋_GB2312" w:eastAsia="仿宋_GB2312"/>
          <w:sz w:val="32"/>
          <w:szCs w:val="32"/>
          <w:lang w:val="en-US" w:eastAsia="zh-CN"/>
        </w:rPr>
        <w:t>]</w:t>
      </w:r>
      <w:r>
        <w:rPr>
          <w:rFonts w:hint="eastAsia" w:ascii="仿宋_GB2312" w:eastAsia="仿宋_GB2312"/>
          <w:sz w:val="32"/>
          <w:szCs w:val="32"/>
        </w:rPr>
        <w:t>9号）</w:t>
      </w:r>
      <w:r>
        <w:rPr>
          <w:rFonts w:hint="eastAsia" w:ascii="仿宋_GB2312" w:eastAsia="仿宋_GB2312"/>
          <w:sz w:val="32"/>
          <w:szCs w:val="32"/>
          <w:lang w:eastAsia="zh-CN"/>
        </w:rPr>
        <w:t>、区财政局《关于印发石家庄市新华区区级部门预算绩效管理办法的通知》</w:t>
      </w:r>
      <w:r>
        <w:rPr>
          <w:rFonts w:hint="eastAsia" w:ascii="仿宋_GB2312" w:eastAsia="仿宋_GB2312"/>
          <w:sz w:val="32"/>
          <w:szCs w:val="32"/>
        </w:rPr>
        <w:t>（新华区</w:t>
      </w:r>
      <w:r>
        <w:rPr>
          <w:rFonts w:hint="eastAsia" w:ascii="仿宋_GB2312" w:eastAsia="仿宋_GB2312"/>
          <w:sz w:val="32"/>
          <w:szCs w:val="32"/>
          <w:lang w:val="en-US" w:eastAsia="zh-CN"/>
        </w:rPr>
        <w:t>[</w:t>
      </w:r>
      <w:r>
        <w:rPr>
          <w:rFonts w:hint="eastAsia" w:ascii="仿宋_GB2312" w:eastAsia="仿宋_GB2312"/>
          <w:sz w:val="32"/>
          <w:szCs w:val="32"/>
        </w:rPr>
        <w:t>20</w:t>
      </w:r>
      <w:r>
        <w:rPr>
          <w:rFonts w:hint="eastAsia" w:ascii="仿宋_GB2312" w:eastAsia="仿宋_GB2312"/>
          <w:sz w:val="32"/>
          <w:szCs w:val="32"/>
          <w:lang w:val="en-US" w:eastAsia="zh-CN"/>
        </w:rPr>
        <w:t>20]10</w:t>
      </w:r>
      <w:r>
        <w:rPr>
          <w:rFonts w:hint="eastAsia" w:ascii="仿宋_GB2312" w:eastAsia="仿宋_GB2312"/>
          <w:sz w:val="32"/>
          <w:szCs w:val="32"/>
        </w:rPr>
        <w:t>号）</w:t>
      </w:r>
      <w:r>
        <w:rPr>
          <w:rFonts w:hint="eastAsia" w:ascii="仿宋_GB2312" w:eastAsia="仿宋_GB2312"/>
          <w:sz w:val="32"/>
          <w:szCs w:val="32"/>
          <w:lang w:eastAsia="zh-CN"/>
        </w:rPr>
        <w:t>，</w:t>
      </w:r>
      <w:r>
        <w:rPr>
          <w:rFonts w:hint="eastAsia" w:ascii="仿宋_GB2312" w:eastAsia="仿宋_GB2312"/>
          <w:sz w:val="32"/>
          <w:szCs w:val="32"/>
        </w:rPr>
        <w:t>进一步推进绩效预算管理工作，提高财政资金使用和财政管理科学化、精细化水平，我</w:t>
      </w:r>
      <w:r>
        <w:rPr>
          <w:rFonts w:hint="eastAsia" w:ascii="仿宋_GB2312" w:eastAsia="仿宋_GB2312"/>
          <w:sz w:val="32"/>
          <w:szCs w:val="32"/>
          <w:lang w:eastAsia="zh-CN"/>
        </w:rPr>
        <w:t>局</w:t>
      </w:r>
      <w:r>
        <w:rPr>
          <w:rFonts w:hint="eastAsia" w:ascii="仿宋_GB2312" w:eastAsia="仿宋_GB2312"/>
          <w:sz w:val="32"/>
          <w:szCs w:val="32"/>
        </w:rPr>
        <w:t>积极组织抽调专人成立</w:t>
      </w:r>
      <w:r>
        <w:rPr>
          <w:rFonts w:hint="eastAsia" w:ascii="仿宋_GB2312" w:eastAsia="仿宋_GB2312"/>
          <w:sz w:val="32"/>
          <w:szCs w:val="32"/>
          <w:lang w:eastAsia="zh-CN"/>
        </w:rPr>
        <w:t>了由局长任组长，项目主管局长任副组长，相关业务科室负责人任组员的绩效</w:t>
      </w:r>
      <w:r>
        <w:rPr>
          <w:rFonts w:hint="eastAsia" w:ascii="仿宋_GB2312" w:eastAsia="仿宋_GB2312"/>
          <w:sz w:val="32"/>
          <w:szCs w:val="32"/>
        </w:rPr>
        <w:t>评价小组，明确</w:t>
      </w:r>
      <w:r>
        <w:rPr>
          <w:rFonts w:hint="eastAsia" w:ascii="仿宋_GB2312" w:eastAsia="仿宋_GB2312"/>
          <w:sz w:val="32"/>
          <w:szCs w:val="32"/>
          <w:lang w:eastAsia="zh-CN"/>
        </w:rPr>
        <w:t>了</w:t>
      </w:r>
      <w:r>
        <w:rPr>
          <w:rFonts w:hint="eastAsia" w:ascii="仿宋_GB2312" w:eastAsia="仿宋_GB2312"/>
          <w:sz w:val="32"/>
          <w:szCs w:val="32"/>
        </w:rPr>
        <w:t>工作职责</w:t>
      </w:r>
      <w:r>
        <w:rPr>
          <w:rFonts w:hint="eastAsia" w:ascii="仿宋_GB2312" w:eastAsia="仿宋_GB2312"/>
          <w:sz w:val="32"/>
          <w:szCs w:val="32"/>
          <w:lang w:eastAsia="zh-CN"/>
        </w:rPr>
        <w:t>，</w:t>
      </w:r>
      <w:r>
        <w:rPr>
          <w:rFonts w:hint="eastAsia" w:ascii="仿宋_GB2312" w:hAnsi="仿宋_GB2312" w:eastAsia="仿宋_GB2312" w:cs="仿宋_GB2312"/>
          <w:b w:val="0"/>
          <w:bCs w:val="0"/>
          <w:sz w:val="32"/>
          <w:szCs w:val="32"/>
          <w:lang w:val="en-US" w:eastAsia="zh-CN"/>
        </w:rPr>
        <w:t>对我局2025年的项目进行了综合评价。</w:t>
      </w:r>
    </w:p>
    <w:p w14:paraId="75D29E9D">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5E528939">
      <w:pPr>
        <w:ind w:firstLine="640"/>
        <w:rPr>
          <w:rFonts w:hint="eastAsia" w:ascii="仿宋_GB2312" w:hAnsi="微软雅黑" w:eastAsia="仿宋_GB2312"/>
          <w:color w:val="000000"/>
          <w:sz w:val="32"/>
          <w:szCs w:val="32"/>
          <w:shd w:val="clear" w:color="auto" w:fill="auto"/>
        </w:rPr>
      </w:pPr>
      <w:r>
        <w:rPr>
          <w:rFonts w:hint="eastAsia" w:ascii="仿宋_GB2312" w:hAnsi="微软雅黑" w:eastAsia="仿宋_GB2312"/>
          <w:color w:val="000000"/>
          <w:sz w:val="32"/>
          <w:szCs w:val="32"/>
          <w:shd w:val="clear" w:color="auto" w:fill="auto"/>
        </w:rPr>
        <w:t>（1）评价方法：</w:t>
      </w:r>
    </w:p>
    <w:p w14:paraId="730473EB">
      <w:pPr>
        <w:ind w:firstLine="640"/>
        <w:rPr>
          <w:rFonts w:hint="eastAsia" w:ascii="仿宋_GB2312" w:hAnsi="微软雅黑" w:eastAsia="仿宋_GB2312"/>
          <w:color w:val="000000"/>
          <w:sz w:val="32"/>
          <w:szCs w:val="32"/>
          <w:shd w:val="clear" w:color="auto" w:fill="auto"/>
        </w:rPr>
      </w:pPr>
      <w:r>
        <w:rPr>
          <w:rFonts w:hint="eastAsia" w:ascii="仿宋_GB2312" w:hAnsi="微软雅黑" w:eastAsia="仿宋_GB2312"/>
          <w:color w:val="000000"/>
          <w:sz w:val="32"/>
          <w:szCs w:val="32"/>
          <w:shd w:val="clear" w:color="auto" w:fill="auto"/>
        </w:rPr>
        <w:t>本次绩效评价方法遵循科学规范原则、公正公开原则、分级分类原则、相关性原则、重要性原则、可比性原则、系统性原则和经济性原则，评价指标体系包括项目立项、资金落实、业务管理、财务管理、项目产出和项目效益方面。</w:t>
      </w:r>
    </w:p>
    <w:p w14:paraId="6315B8D0">
      <w:pPr>
        <w:ind w:firstLine="640" w:firstLineChars="200"/>
        <w:rPr>
          <w:rFonts w:hint="eastAsia" w:ascii="仿宋_GB2312" w:hAnsi="微软雅黑" w:eastAsia="仿宋_GB2312"/>
          <w:color w:val="000000"/>
          <w:sz w:val="32"/>
          <w:szCs w:val="32"/>
          <w:shd w:val="clear" w:color="auto" w:fill="auto"/>
        </w:rPr>
      </w:pPr>
      <w:r>
        <w:rPr>
          <w:rFonts w:hint="eastAsia" w:ascii="仿宋_GB2312" w:hAnsi="微软雅黑" w:eastAsia="仿宋_GB2312"/>
          <w:color w:val="000000"/>
          <w:sz w:val="32"/>
          <w:szCs w:val="32"/>
          <w:shd w:val="clear" w:color="auto" w:fill="auto"/>
        </w:rPr>
        <w:t>（2）绩效评价过程：</w:t>
      </w:r>
    </w:p>
    <w:p w14:paraId="06A51CEF">
      <w:pPr>
        <w:ind w:firstLine="640" w:firstLineChars="200"/>
        <w:rPr>
          <w:rFonts w:hint="eastAsia" w:ascii="仿宋_GB2312" w:hAnsi="微软雅黑" w:eastAsia="仿宋_GB2312"/>
          <w:color w:val="000000"/>
          <w:sz w:val="32"/>
          <w:szCs w:val="32"/>
          <w:shd w:val="clear" w:color="auto" w:fill="auto"/>
        </w:rPr>
      </w:pPr>
      <w:r>
        <w:rPr>
          <w:rFonts w:hint="eastAsia" w:ascii="仿宋_GB2312" w:hAnsi="微软雅黑" w:eastAsia="仿宋_GB2312"/>
          <w:color w:val="000000"/>
          <w:sz w:val="32"/>
          <w:szCs w:val="32"/>
          <w:shd w:val="clear" w:color="auto" w:fill="auto"/>
        </w:rPr>
        <w:t>1.前期准备：科室传达学习了预算支出绩效评价的工作要求，了解项目基本情况，确定项目绩效评价工作程序，制定工作方案。</w:t>
      </w:r>
    </w:p>
    <w:p w14:paraId="3BFA1D0A">
      <w:pPr>
        <w:ind w:firstLine="640" w:firstLineChars="200"/>
        <w:rPr>
          <w:rFonts w:hint="eastAsia" w:ascii="仿宋_GB2312" w:hAnsi="微软雅黑" w:eastAsia="仿宋_GB2312"/>
          <w:color w:val="000000"/>
          <w:sz w:val="32"/>
          <w:szCs w:val="32"/>
          <w:shd w:val="clear" w:color="auto" w:fill="auto"/>
        </w:rPr>
      </w:pPr>
      <w:r>
        <w:rPr>
          <w:rFonts w:hint="eastAsia" w:ascii="仿宋_GB2312" w:hAnsi="微软雅黑" w:eastAsia="仿宋_GB2312"/>
          <w:color w:val="000000"/>
          <w:sz w:val="32"/>
          <w:szCs w:val="32"/>
          <w:shd w:val="clear" w:color="auto" w:fill="auto"/>
        </w:rPr>
        <w:t>2.组织实施：为使绩效评价工作顺利开展，成立了以绩效管理工作领导小组，负责绩效评价的组织管理和实施工作，填制基础表格、收集资料、汇总数据，按照年初上级部门下达的工作目标，结合预算支出情况进行绩效评价并撰写绩效评价报告。</w:t>
      </w:r>
    </w:p>
    <w:p w14:paraId="01351E01">
      <w:pPr>
        <w:numPr>
          <w:ilvl w:val="0"/>
          <w:numId w:val="0"/>
        </w:numPr>
        <w:spacing w:line="560" w:lineRule="exact"/>
        <w:ind w:firstLine="640" w:firstLineChars="200"/>
      </w:pPr>
      <w:r>
        <w:rPr>
          <w:rFonts w:hint="eastAsia" w:ascii="仿宋_GB2312" w:hAnsi="微软雅黑" w:eastAsia="仿宋_GB2312"/>
          <w:color w:val="000000"/>
          <w:sz w:val="32"/>
          <w:szCs w:val="32"/>
          <w:shd w:val="clear" w:color="auto" w:fill="auto"/>
        </w:rPr>
        <w:t>3.分析评价：对项目科室提供的自评报告、项目资料进行核实、分析、复查，运用相关绩效评价方法对绩效完成情况进行综合分析、打分、形成评价结论。</w:t>
      </w:r>
    </w:p>
    <w:p w14:paraId="031BE99B">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7D76839">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708B9AF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1.做好社会救助工作。按照应保尽保、应退尽退、动态管理的原则，对困难群众实施社会救助。强化发现机制，开展“政策找人”活动。通过数据比对、走访摸排、主动发现、动态监测等措施及时发现生活困难群众，按政策实施生活救助。完善动态管理，实现应保尽保，应退尽退。</w:t>
      </w:r>
      <w:r>
        <w:rPr>
          <w:rFonts w:hint="eastAsia" w:ascii="仿宋_GB2312" w:hAnsi="仿宋_GB2312" w:eastAsia="仿宋_GB2312" w:cs="仿宋_GB2312"/>
          <w:color w:val="auto"/>
          <w:kern w:val="2"/>
          <w:sz w:val="32"/>
          <w:szCs w:val="32"/>
          <w:lang w:val="en-US" w:eastAsia="zh-CN" w:bidi="ar-SA"/>
        </w:rPr>
        <w:t>一是结合区核查中心核查情况，对核查异常的家庭由街道重新复核，发现不符合条件的家庭及时取消；二是结合与残联、医保等部门的交换数据，发现在册低保家庭死亡人员，及时取消；三是依托省社会救助管理信息系统中“低收入动态监测”模块，针对重病、残疾、就学、失业等低收入人口的教育、医疗、失业情况的系统定期预警信息，由社区工作人员通过入户走访进行预警信息核实，主动发现符合社会救助条件的困难家庭，及时纳入社会救助范围。</w:t>
      </w:r>
    </w:p>
    <w:p w14:paraId="6FE5580A">
      <w:pPr>
        <w:keepNext w:val="0"/>
        <w:keepLines w:val="0"/>
        <w:pageBreakBefore w:val="0"/>
        <w:tabs>
          <w:tab w:val="left" w:pos="1078"/>
        </w:tabs>
        <w:kinsoku/>
        <w:wordWrap/>
        <w:overflowPunct/>
        <w:topLinePunct w:val="0"/>
        <w:autoSpaceDE/>
        <w:autoSpaceDN/>
        <w:bidi w:val="0"/>
        <w:adjustRightInd/>
        <w:snapToGrid/>
        <w:spacing w:line="560" w:lineRule="exact"/>
        <w:ind w:firstLine="640" w:firstLineChars="200"/>
        <w:jc w:val="left"/>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养老服务工作成绩显著。按照社区、居家、机构相协调，康养医养相融合的养老服务模式，积极开展养老服务体系建设。目前我区共有养老机构13家，拥有养老床位2592，入住人员1400人。街道区域养老服务中心15家，116个社区日间照料站，广泛开展生活照料、助餐供餐、文化娱乐、健康指导、呼叫服务、心理慰藉等内容的为民服务。大力实施养老助餐工程。</w:t>
      </w:r>
      <w:r>
        <w:rPr>
          <w:rFonts w:hint="eastAsia" w:ascii="仿宋_GB2312" w:hAnsi="仿宋_GB2312" w:eastAsia="仿宋_GB2312" w:cs="仿宋_GB2312"/>
          <w:color w:val="auto"/>
          <w:sz w:val="32"/>
          <w:szCs w:val="32"/>
          <w:lang w:val="zh-CN" w:eastAsia="zh-CN"/>
        </w:rPr>
        <w:t>通过对符合条件的老人发放就餐补贴、</w:t>
      </w:r>
      <w:r>
        <w:rPr>
          <w:rFonts w:hint="eastAsia" w:ascii="仿宋_GB2312" w:hAnsi="仿宋_GB2312" w:eastAsia="仿宋_GB2312" w:cs="仿宋_GB2312"/>
          <w:color w:val="auto"/>
          <w:sz w:val="32"/>
          <w:szCs w:val="32"/>
          <w:lang w:val="en-US" w:eastAsia="zh-CN"/>
        </w:rPr>
        <w:t>出台支持</w:t>
      </w:r>
      <w:r>
        <w:rPr>
          <w:rFonts w:hint="eastAsia" w:ascii="仿宋_GB2312" w:hAnsi="仿宋_GB2312" w:eastAsia="仿宋_GB2312" w:cs="仿宋_GB2312"/>
          <w:color w:val="auto"/>
          <w:sz w:val="32"/>
          <w:szCs w:val="32"/>
          <w:lang w:val="zh-CN" w:eastAsia="zh-CN"/>
        </w:rPr>
        <w:t>政策等方式，全区范围内</w:t>
      </w:r>
      <w:r>
        <w:rPr>
          <w:rFonts w:hint="eastAsia" w:ascii="仿宋_GB2312" w:hAnsi="仿宋_GB2312" w:eastAsia="仿宋_GB2312" w:cs="仿宋_GB2312"/>
          <w:color w:val="auto"/>
          <w:sz w:val="32"/>
          <w:szCs w:val="32"/>
          <w:lang w:val="en-US" w:eastAsia="zh-CN"/>
        </w:rPr>
        <w:t>建成了20个“老年人助餐点”；</w:t>
      </w:r>
      <w:r>
        <w:rPr>
          <w:rFonts w:hint="eastAsia" w:ascii="仿宋_GB2312" w:hAnsi="仿宋_GB2312" w:eastAsia="仿宋_GB2312" w:cs="仿宋_GB2312"/>
          <w:b w:val="0"/>
          <w:bCs w:val="0"/>
          <w:color w:val="auto"/>
          <w:sz w:val="32"/>
          <w:szCs w:val="32"/>
          <w:lang w:val="en-US" w:eastAsia="zh-CN"/>
        </w:rPr>
        <w:t>15个区域养老服务中心能够给老人提供助餐服务，116个社区日间照料服务站设置了助餐点；街道区域养老服务中心也实现助餐功能全覆盖。</w:t>
      </w:r>
    </w:p>
    <w:p w14:paraId="0180017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baseline"/>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rPr>
        <w:t>3.全面落实残疾人政策。</w:t>
      </w:r>
      <w:r>
        <w:rPr>
          <w:rFonts w:hint="eastAsia" w:ascii="仿宋_GB2312" w:hAnsi="仿宋_GB2312" w:eastAsia="仿宋_GB2312" w:cs="仿宋_GB2312"/>
          <w:color w:val="auto"/>
          <w:kern w:val="2"/>
          <w:sz w:val="32"/>
          <w:szCs w:val="32"/>
          <w:lang w:val="en-US" w:eastAsia="zh-CN" w:bidi="ar-SA"/>
        </w:rPr>
        <w:t>一是认真落实《关于加强残疾人两项补贴精准管理的意见的通知》文件精神，严格落实补贴调标工作。二是组织开展残疾人两项补贴政策培训会。三是定期开展复核工作。与区残联进行残疾人证信息比对，并及时与低保、特困、火化、养老、孤儿等相关数据进行核查比对。对应享未享、残疾证过期、注销重点数据反馈街道进行核实，并对残疾证快到期人员告知街道提醒残疾人尽快换证。四是完善全国残疾人两项补贴系统电子档案。15个街道残疾人两项补贴电子档案全部达到100%。</w:t>
      </w:r>
    </w:p>
    <w:p w14:paraId="215048B7">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仿宋_GB2312" w:hAnsi="仿宋_GB2312" w:eastAsia="仿宋_GB2312" w:cs="仿宋_GB2312"/>
          <w:i w:val="0"/>
          <w:caps w:val="0"/>
          <w:color w:val="auto"/>
          <w:spacing w:val="0"/>
          <w:kern w:val="0"/>
          <w:sz w:val="32"/>
          <w:szCs w:val="32"/>
          <w:shd w:val="clear" w:color="auto" w:fill="FFFFFF"/>
          <w:lang w:val="en-US" w:eastAsia="zh-CN" w:bidi="ar"/>
        </w:rPr>
      </w:pPr>
      <w:r>
        <w:rPr>
          <w:rFonts w:hint="eastAsia" w:ascii="仿宋_GB2312" w:hAnsi="仿宋_GB2312" w:eastAsia="仿宋_GB2312" w:cs="仿宋_GB2312"/>
          <w:color w:val="auto"/>
          <w:kern w:val="2"/>
          <w:sz w:val="32"/>
          <w:szCs w:val="32"/>
          <w:lang w:val="en-US" w:eastAsia="zh-CN" w:bidi="ar-SA"/>
        </w:rPr>
        <w:t>4.</w:t>
      </w:r>
      <w:r>
        <w:rPr>
          <w:rFonts w:hint="eastAsia" w:ascii="仿宋_GB2312" w:hAnsi="仿宋_GB2312" w:eastAsia="仿宋_GB2312" w:cs="仿宋_GB2312"/>
          <w:color w:val="000000" w:themeColor="text1"/>
          <w:sz w:val="32"/>
          <w:szCs w:val="32"/>
          <w:lang w:val="en-US" w:eastAsia="zh-CN"/>
        </w:rPr>
        <w:t>统筹慈善资源，构建多元募资格局。立</w:t>
      </w:r>
      <w:r>
        <w:rPr>
          <w:rFonts w:hint="eastAsia" w:ascii="华文仿宋" w:hAnsi="华文仿宋" w:eastAsia="华文仿宋" w:cs="华文仿宋"/>
          <w:color w:val="000000" w:themeColor="text1"/>
          <w:sz w:val="32"/>
          <w:szCs w:val="32"/>
          <w:lang w:val="en-US" w:eastAsia="zh-CN"/>
        </w:rPr>
        <w:t>足部门职能，牵头搭建慈善募捐桥梁，推动慈善资金持续汇聚。一是强化慈善组织合规能力建设，重点推进辖区慈善组织公开募捐资格办理，推动慈善组织规范化运营。二是激活社会参与，在今年“久久公益节”中联合各区直部门、辖区街道依托省市慈善平台线上“关爱困境人员”项目，吸引个人捐赠239人次，募集资金8259.22元，实现“人人可慈善”的全民参与氛围。三</w:t>
      </w:r>
      <w:r>
        <w:rPr>
          <w:rFonts w:hint="eastAsia" w:ascii="仿宋_GB2312" w:hAnsi="仿宋_GB2312" w:eastAsia="仿宋_GB2312" w:cs="仿宋_GB2312"/>
          <w:sz w:val="32"/>
          <w:szCs w:val="32"/>
          <w:lang w:val="en-US" w:eastAsia="zh-CN"/>
        </w:rPr>
        <w:t>是争取上级支持，成功申报市级“小社九助”慈善项目扶持资金45万元，为重点慈善工作开展提供有力保障。四是创新募资载体，在赵佗路街道、石岗街道民政服务站（慈善工作站）设立“社区基金”激活社区“自我造血”能力。</w:t>
      </w:r>
    </w:p>
    <w:p w14:paraId="65131CD7">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eastAsia" w:ascii="仿宋_GB2312" w:hAnsi="仿宋_GB2312" w:eastAsia="仿宋_GB2312" w:cs="仿宋_GB2312"/>
          <w:b w:val="0"/>
          <w:bCs w:val="0"/>
          <w:color w:val="auto"/>
          <w:sz w:val="32"/>
          <w:szCs w:val="32"/>
          <w:shd w:val="clear" w:color="auto" w:fill="auto"/>
          <w:lang w:val="en-US" w:eastAsia="zh-CN"/>
        </w:rPr>
      </w:pPr>
      <w:r>
        <w:rPr>
          <w:rFonts w:hint="eastAsia" w:ascii="仿宋_GB2312" w:hAnsi="仿宋_GB2312" w:eastAsia="仿宋_GB2312" w:cs="仿宋_GB2312"/>
          <w:color w:val="auto"/>
          <w:kern w:val="2"/>
          <w:sz w:val="32"/>
          <w:szCs w:val="32"/>
          <w:lang w:val="en-US" w:eastAsia="zh-CN" w:bidi="ar-SA"/>
        </w:rPr>
        <w:t>5.持续做好婚姻登记。顺利实现了省内婚姻登记统一办理。</w:t>
      </w:r>
      <w:r>
        <w:rPr>
          <w:rFonts w:hint="eastAsia" w:ascii="华文仿宋" w:hAnsi="华文仿宋" w:eastAsia="华文仿宋" w:cs="华文仿宋"/>
          <w:color w:val="auto"/>
          <w:spacing w:val="0"/>
          <w:position w:val="0"/>
          <w:sz w:val="32"/>
          <w:shd w:val="clear" w:fill="auto"/>
          <w:lang w:val="en-US" w:eastAsia="zh-CN"/>
        </w:rPr>
        <w:t>全区</w:t>
      </w:r>
      <w:r>
        <w:rPr>
          <w:rFonts w:hint="eastAsia" w:ascii="仿宋_GB2312" w:hAnsi="仿宋_GB2312" w:eastAsia="仿宋_GB2312" w:cs="仿宋_GB2312"/>
          <w:color w:val="000000" w:themeColor="text1"/>
          <w:sz w:val="32"/>
          <w:szCs w:val="32"/>
          <w:lang w:val="en-US" w:eastAsia="zh-CN"/>
        </w:rPr>
        <w:t>共办理</w:t>
      </w:r>
      <w:r>
        <w:rPr>
          <w:rFonts w:hint="eastAsia" w:ascii="仿宋" w:hAnsi="仿宋" w:eastAsia="仿宋" w:cs="仿宋"/>
          <w:color w:val="000000" w:themeColor="text1"/>
          <w:sz w:val="32"/>
          <w:szCs w:val="32"/>
          <w:lang w:eastAsia="zh-CN"/>
        </w:rPr>
        <w:t>结婚</w:t>
      </w:r>
      <w:r>
        <w:rPr>
          <w:rFonts w:hint="eastAsia" w:ascii="仿宋" w:hAnsi="仿宋" w:eastAsia="仿宋" w:cs="仿宋"/>
          <w:color w:val="000000" w:themeColor="text1"/>
          <w:sz w:val="32"/>
          <w:szCs w:val="32"/>
        </w:rPr>
        <w:t>登记</w:t>
      </w:r>
      <w:r>
        <w:rPr>
          <w:rFonts w:hint="eastAsia" w:ascii="仿宋" w:hAnsi="仿宋" w:eastAsia="仿宋" w:cs="仿宋"/>
          <w:color w:val="000000" w:themeColor="text1"/>
          <w:sz w:val="32"/>
          <w:szCs w:val="32"/>
          <w:lang w:val="en-US" w:eastAsia="zh-CN"/>
        </w:rPr>
        <w:t>2735</w:t>
      </w:r>
      <w:r>
        <w:rPr>
          <w:rFonts w:hint="eastAsia" w:ascii="仿宋" w:hAnsi="仿宋" w:eastAsia="仿宋" w:cs="仿宋"/>
          <w:color w:val="000000" w:themeColor="text1"/>
          <w:sz w:val="32"/>
          <w:szCs w:val="32"/>
        </w:rPr>
        <w:t>对</w:t>
      </w:r>
      <w:r>
        <w:rPr>
          <w:rFonts w:hint="eastAsia" w:ascii="仿宋" w:hAnsi="仿宋" w:eastAsia="仿宋" w:cs="仿宋"/>
          <w:color w:val="000000" w:themeColor="text1"/>
          <w:sz w:val="32"/>
          <w:szCs w:val="32"/>
          <w:lang w:eastAsia="zh-CN"/>
        </w:rPr>
        <w:t>，离婚登记</w:t>
      </w:r>
      <w:r>
        <w:rPr>
          <w:rFonts w:hint="eastAsia" w:ascii="仿宋" w:hAnsi="仿宋" w:eastAsia="仿宋" w:cs="仿宋"/>
          <w:color w:val="000000" w:themeColor="text1"/>
          <w:sz w:val="32"/>
          <w:szCs w:val="32"/>
          <w:lang w:val="en-US" w:eastAsia="zh-CN"/>
        </w:rPr>
        <w:t>1584对，</w:t>
      </w:r>
      <w:r>
        <w:rPr>
          <w:rFonts w:hint="eastAsia" w:ascii="仿宋_GB2312" w:hAnsi="仿宋_GB2312" w:eastAsia="仿宋_GB2312" w:cs="仿宋_GB2312"/>
          <w:color w:val="auto"/>
          <w:spacing w:val="0"/>
          <w:position w:val="0"/>
          <w:sz w:val="32"/>
          <w:shd w:val="clear" w:fill="auto"/>
          <w:lang w:val="en-US" w:eastAsia="zh-CN"/>
        </w:rPr>
        <w:t>办理婚姻登记“全国通办”90对，有效满足了群众异地办理婚姻登记的实际需求。</w:t>
      </w:r>
    </w:p>
    <w:p w14:paraId="6B4C98D7">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58A19442">
      <w:pPr>
        <w:spacing w:line="560" w:lineRule="exact"/>
        <w:ind w:firstLine="640" w:firstLineChars="200"/>
        <w:rPr>
          <w:rFonts w:hint="eastAsia" w:ascii="仿宋" w:hAnsi="仿宋" w:eastAsia="仿宋" w:cs="仿宋"/>
          <w:b w:val="0"/>
          <w:bCs/>
          <w:sz w:val="32"/>
          <w:szCs w:val="32"/>
          <w:lang w:val="en-US" w:eastAsia="zh-CN"/>
        </w:rPr>
      </w:pPr>
      <w:r>
        <w:rPr>
          <w:rFonts w:hint="eastAsia" w:ascii="仿宋" w:hAnsi="仿宋" w:eastAsia="仿宋" w:cs="仿宋"/>
          <w:b w:val="0"/>
          <w:bCs/>
          <w:sz w:val="32"/>
          <w:szCs w:val="32"/>
          <w:lang w:val="en-US" w:eastAsia="zh-CN"/>
        </w:rPr>
        <w:t>新华区民政局部门整体绩效目标完成情况较好，产出指标、效益指标、满意度指标基本达到预期目标，预算执行率指标部分项目未达到预期目标,根据指标体系评分标准，预算执行率指标8.61分，产出指标得分38.22分，效益指标得分40分，满意度指标得分10分。</w:t>
      </w:r>
    </w:p>
    <w:p w14:paraId="179C665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6824686B">
      <w:pPr>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根据</w:t>
      </w:r>
      <w:r>
        <w:rPr>
          <w:rFonts w:hint="eastAsia" w:ascii="仿宋_GB2312" w:hAnsi="仿宋_GB2312" w:eastAsia="仿宋_GB2312" w:cs="仿宋_GB2312"/>
          <w:sz w:val="32"/>
          <w:szCs w:val="32"/>
        </w:rPr>
        <w:t>绩效评价指标体系及评分标准，通过数据采集</w:t>
      </w:r>
      <w:r>
        <w:rPr>
          <w:rFonts w:hint="eastAsia" w:ascii="仿宋_GB2312" w:hAnsi="仿宋_GB2312" w:eastAsia="仿宋_GB2312" w:cs="仿宋_GB2312"/>
          <w:sz w:val="32"/>
          <w:szCs w:val="32"/>
          <w:lang w:eastAsia="zh-CN"/>
        </w:rPr>
        <w:t>整理</w:t>
      </w:r>
      <w:r>
        <w:rPr>
          <w:rFonts w:hint="eastAsia" w:ascii="仿宋" w:hAnsi="仿宋" w:eastAsia="仿宋"/>
          <w:sz w:val="32"/>
          <w:szCs w:val="32"/>
          <w:lang w:eastAsia="zh-CN"/>
        </w:rPr>
        <w:t>，</w:t>
      </w:r>
      <w:r>
        <w:rPr>
          <w:rFonts w:hint="eastAsia" w:ascii="仿宋" w:hAnsi="仿宋" w:eastAsia="仿宋"/>
          <w:sz w:val="32"/>
          <w:szCs w:val="32"/>
          <w:lang w:val="en-US" w:eastAsia="zh-CN"/>
        </w:rPr>
        <w:t>对2023年度部门项目绩效进行自评，</w:t>
      </w:r>
      <w:r>
        <w:rPr>
          <w:rFonts w:hint="eastAsia" w:ascii="仿宋_GB2312" w:hAnsi="仿宋_GB2312" w:eastAsia="仿宋_GB2312" w:cs="仿宋_GB2312"/>
          <w:sz w:val="32"/>
          <w:szCs w:val="32"/>
        </w:rPr>
        <w:t>评分结果：总分为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w:t>
      </w:r>
      <w:r>
        <w:rPr>
          <w:rFonts w:hint="eastAsia" w:ascii="仿宋_GB2312" w:hAnsi="仿宋_GB2312" w:eastAsia="仿宋_GB2312" w:cs="仿宋_GB2312"/>
          <w:sz w:val="32"/>
          <w:szCs w:val="32"/>
          <w:lang w:val="en-US" w:eastAsia="zh-CN"/>
        </w:rPr>
        <w:t>部门整体</w:t>
      </w:r>
      <w:r>
        <w:rPr>
          <w:rFonts w:hint="eastAsia" w:ascii="仿宋_GB2312" w:hAnsi="仿宋_GB2312" w:eastAsia="仿宋_GB2312" w:cs="仿宋_GB2312"/>
          <w:sz w:val="32"/>
          <w:szCs w:val="32"/>
        </w:rPr>
        <w:t>绩效评级为“</w:t>
      </w:r>
      <w:r>
        <w:rPr>
          <w:rFonts w:hint="eastAsia" w:ascii="仿宋_GB2312" w:hAnsi="仿宋_GB2312" w:eastAsia="仿宋_GB2312" w:cs="仿宋_GB2312"/>
          <w:sz w:val="32"/>
          <w:szCs w:val="32"/>
          <w:lang w:val="en-US" w:eastAsia="zh-CN"/>
        </w:rPr>
        <w:t>优秀</w:t>
      </w:r>
      <w:r>
        <w:rPr>
          <w:rFonts w:hint="eastAsia" w:ascii="仿宋_GB2312" w:hAnsi="仿宋_GB2312" w:eastAsia="仿宋_GB2312" w:cs="仿宋_GB2312"/>
          <w:sz w:val="32"/>
          <w:szCs w:val="32"/>
        </w:rPr>
        <w:t>”。</w:t>
      </w:r>
    </w:p>
    <w:p w14:paraId="55A4122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053E8E75">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25FF8284">
      <w:pPr>
        <w:pStyle w:val="2"/>
      </w:pPr>
      <w:r>
        <w:rPr>
          <w:rFonts w:hint="eastAsia" w:ascii="仿宋_GB2312" w:hAnsi="仿宋_GB2312" w:eastAsia="仿宋_GB2312" w:cs="仿宋_GB2312"/>
          <w:lang w:val="en-US" w:eastAsia="zh-CN"/>
        </w:rPr>
        <w:t xml:space="preserve"> 部分</w:t>
      </w:r>
      <w:r>
        <w:rPr>
          <w:rFonts w:hint="eastAsia" w:ascii="仿宋_GB2312" w:hAnsi="仿宋_GB2312" w:eastAsia="仿宋_GB2312" w:cs="仿宋_GB2312"/>
          <w:bCs/>
          <w:sz w:val="32"/>
          <w:szCs w:val="32"/>
          <w:lang w:val="en-US" w:eastAsia="zh-CN"/>
        </w:rPr>
        <w:t>年初</w:t>
      </w:r>
      <w:r>
        <w:rPr>
          <w:rFonts w:hint="eastAsia" w:ascii="仿宋" w:hAnsi="仿宋" w:eastAsia="仿宋" w:cs="仿宋"/>
          <w:bCs/>
          <w:sz w:val="32"/>
          <w:szCs w:val="32"/>
          <w:lang w:val="en-US" w:eastAsia="zh-CN"/>
        </w:rPr>
        <w:t>预算计划存在偏差。</w:t>
      </w:r>
    </w:p>
    <w:p w14:paraId="0DD68DE6">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14:paraId="6CCE81A2">
      <w:pPr>
        <w:pStyle w:val="5"/>
        <w:numPr>
          <w:ilvl w:val="0"/>
          <w:numId w:val="0"/>
        </w:numPr>
        <w:ind w:firstLine="960" w:firstLineChars="300"/>
        <w:rPr>
          <w:rFonts w:hint="eastAsia" w:eastAsia="仿宋_GB2312"/>
          <w:lang w:val="en-US" w:eastAsia="zh-CN"/>
        </w:rPr>
      </w:pPr>
      <w:r>
        <w:rPr>
          <w:rFonts w:hint="eastAsia" w:ascii="仿宋" w:hAnsi="仿宋" w:eastAsia="仿宋" w:cs="仿宋"/>
          <w:sz w:val="32"/>
          <w:szCs w:val="32"/>
          <w:lang w:val="en-US" w:eastAsia="zh-CN"/>
        </w:rPr>
        <w:t>下一步，按照实际，精准编制项目预算。</w:t>
      </w:r>
    </w:p>
    <w:p w14:paraId="5CA10421">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Arial">
    <w:panose1 w:val="020B0604020202020204"/>
    <w:charset w:val="00"/>
    <w:family w:val="swiss"/>
    <w:pitch w:val="default"/>
    <w:sig w:usb0="E0002AFF" w:usb1="C0007843" w:usb2="00000009" w:usb3="00000000" w:csb0="400001FF" w:csb1="FFFF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modern"/>
    <w:pitch w:val="default"/>
    <w:sig w:usb0="80000287" w:usb1="280F3C52" w:usb2="00000016" w:usb3="00000000" w:csb0="0004001F" w:csb1="00000000"/>
  </w:font>
  <w:font w:name="国标楷体">
    <w:altName w:val="楷体_GB2312"/>
    <w:panose1 w:val="02000500000000000000"/>
    <w:charset w:val="86"/>
    <w:family w:val="auto"/>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8"/>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30693F3"/>
    <w:multiLevelType w:val="singleLevel"/>
    <w:tmpl w:val="E30693F3"/>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53216A"/>
    <w:rsid w:val="006932BD"/>
    <w:rsid w:val="007416C6"/>
    <w:rsid w:val="007E6C1F"/>
    <w:rsid w:val="009000BE"/>
    <w:rsid w:val="00956A93"/>
    <w:rsid w:val="009E575C"/>
    <w:rsid w:val="00A024F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740D26"/>
    <w:rsid w:val="1BE140DE"/>
    <w:rsid w:val="1E542E40"/>
    <w:rsid w:val="248C197D"/>
    <w:rsid w:val="252959AF"/>
    <w:rsid w:val="277A6671"/>
    <w:rsid w:val="292D35B7"/>
    <w:rsid w:val="33EB6CFF"/>
    <w:rsid w:val="35A12947"/>
    <w:rsid w:val="37387040"/>
    <w:rsid w:val="3B625C0A"/>
    <w:rsid w:val="3CEE1963"/>
    <w:rsid w:val="436B78D3"/>
    <w:rsid w:val="4C9C27FE"/>
    <w:rsid w:val="502A44B1"/>
    <w:rsid w:val="512260B4"/>
    <w:rsid w:val="52BD6ACB"/>
    <w:rsid w:val="55537534"/>
    <w:rsid w:val="561A74F1"/>
    <w:rsid w:val="58B17416"/>
    <w:rsid w:val="597244E8"/>
    <w:rsid w:val="5EB71C30"/>
    <w:rsid w:val="66AF0CE5"/>
    <w:rsid w:val="68AC2130"/>
    <w:rsid w:val="6AC537CF"/>
    <w:rsid w:val="6CBD1B5B"/>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2">
    <w:name w:val="Body Text First Indent 2"/>
    <w:basedOn w:val="3"/>
    <w:next w:val="4"/>
    <w:qFormat/>
    <w:uiPriority w:val="99"/>
    <w:pPr>
      <w:ind w:firstLine="200"/>
    </w:pPr>
    <w:rPr>
      <w:rFonts w:ascii="Times New Roman" w:hAnsi="Times New Roman" w:eastAsia="宋体" w:cs="Times New Roman"/>
    </w:rPr>
  </w:style>
  <w:style w:type="paragraph" w:styleId="3">
    <w:name w:val="Body Text Indent"/>
    <w:basedOn w:val="1"/>
    <w:next w:val="1"/>
    <w:qFormat/>
    <w:uiPriority w:val="99"/>
    <w:pPr>
      <w:ind w:firstLine="622" w:firstLineChars="200"/>
    </w:pPr>
    <w:rPr>
      <w:rFonts w:ascii="仿宋_GB2312" w:eastAsia="仿宋_GB2312" w:cs="仿宋_GB2312"/>
      <w:sz w:val="32"/>
      <w:szCs w:val="32"/>
    </w:rPr>
  </w:style>
  <w:style w:type="paragraph" w:styleId="4">
    <w:name w:val="Body Text Indent 2"/>
    <w:basedOn w:val="5"/>
    <w:qFormat/>
    <w:uiPriority w:val="0"/>
    <w:pPr>
      <w:spacing w:line="480" w:lineRule="auto"/>
      <w:ind w:left="420" w:leftChars="200"/>
    </w:pPr>
  </w:style>
  <w:style w:type="paragraph" w:styleId="5">
    <w:name w:val="Body Text"/>
    <w:basedOn w:val="1"/>
    <w:next w:val="6"/>
    <w:qFormat/>
    <w:uiPriority w:val="0"/>
    <w:rPr>
      <w:rFonts w:ascii="仿宋_GB2312" w:hAnsi="仿宋_GB2312" w:eastAsia="仿宋_GB2312" w:cs="仿宋_GB2312"/>
      <w:sz w:val="32"/>
      <w:szCs w:val="32"/>
      <w:lang w:val="zh-CN" w:bidi="zh-CN"/>
    </w:rPr>
  </w:style>
  <w:style w:type="paragraph" w:styleId="6">
    <w:name w:val="header"/>
    <w:basedOn w:val="1"/>
    <w:next w:val="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Quote1"/>
    <w:basedOn w:val="1"/>
    <w:next w:val="1"/>
    <w:qFormat/>
    <w:uiPriority w:val="0"/>
    <w:pPr>
      <w:ind w:left="864" w:right="864"/>
      <w:jc w:val="center"/>
    </w:pPr>
    <w:rPr>
      <w:i/>
      <w:iCs/>
      <w:color w:val="000000"/>
    </w:rPr>
  </w:style>
  <w:style w:type="paragraph" w:styleId="8">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6</Pages>
  <Words>95</Words>
  <Characters>547</Characters>
  <Lines>4</Lines>
  <Paragraphs>1</Paragraphs>
  <TotalTime>1</TotalTime>
  <ScaleCrop>false</ScaleCrop>
  <LinksUpToDate>false</LinksUpToDate>
  <CharactersWithSpaces>641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cp:lastModifiedBy>
  <cp:lastPrinted>2026-03-03T01:23:00Z</cp:lastPrinted>
  <dcterms:modified xsi:type="dcterms:W3CDTF">2026-05-16T15:18:48Z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