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9D160A">
      <w:pPr>
        <w:jc w:val="both"/>
        <w:rPr>
          <w:rFonts w:hint="default" w:ascii="黑体" w:hAnsi="黑体" w:eastAsia="黑体" w:cs="黑体"/>
          <w:b w:val="0"/>
          <w:bCs w:val="0"/>
          <w:sz w:val="28"/>
          <w:szCs w:val="28"/>
          <w:lang w:val="en-US" w:eastAsia="zh-CN"/>
        </w:rPr>
      </w:pPr>
      <w:r>
        <w:rPr>
          <w:rFonts w:hint="eastAsia" w:ascii="黑体" w:hAnsi="黑体" w:eastAsia="黑体" w:cs="黑体"/>
          <w:b w:val="0"/>
          <w:bCs w:val="0"/>
          <w:sz w:val="28"/>
          <w:szCs w:val="28"/>
          <w:lang w:val="en-US" w:eastAsia="zh-CN"/>
        </w:rPr>
        <w:t>附件4</w:t>
      </w:r>
    </w:p>
    <w:p w14:paraId="7ED4A2BF">
      <w:pPr>
        <w:jc w:val="center"/>
        <w:rPr>
          <w:rFonts w:hint="eastAsia" w:ascii="黑体" w:hAnsi="黑体" w:eastAsia="黑体" w:cs="黑体"/>
          <w:b/>
          <w:bCs/>
          <w:sz w:val="44"/>
          <w:szCs w:val="44"/>
        </w:rPr>
      </w:pPr>
      <w:r>
        <w:rPr>
          <w:rFonts w:hint="eastAsia" w:ascii="黑体" w:hAnsi="黑体" w:eastAsia="黑体" w:cs="黑体"/>
          <w:b/>
          <w:bCs/>
          <w:sz w:val="44"/>
          <w:szCs w:val="44"/>
        </w:rPr>
        <w:t>石家庄市新华区统计局</w:t>
      </w:r>
    </w:p>
    <w:p w14:paraId="252CE6B3">
      <w:pPr>
        <w:jc w:val="center"/>
        <w:rPr>
          <w:rFonts w:hint="eastAsia" w:ascii="黑体" w:hAnsi="黑体" w:eastAsia="黑体" w:cs="黑体"/>
          <w:b/>
          <w:bCs/>
          <w:sz w:val="44"/>
          <w:szCs w:val="44"/>
        </w:rPr>
      </w:pPr>
      <w:r>
        <w:rPr>
          <w:rFonts w:hint="eastAsia" w:ascii="黑体" w:hAnsi="黑体" w:eastAsia="黑体" w:cs="黑体"/>
          <w:b/>
          <w:bCs/>
          <w:sz w:val="44"/>
          <w:szCs w:val="44"/>
        </w:rPr>
        <w:t>202</w:t>
      </w:r>
      <w:r>
        <w:rPr>
          <w:rFonts w:hint="eastAsia" w:ascii="黑体" w:hAnsi="黑体" w:eastAsia="黑体" w:cs="黑体"/>
          <w:b/>
          <w:bCs/>
          <w:sz w:val="44"/>
          <w:szCs w:val="44"/>
          <w:lang w:val="en-US" w:eastAsia="zh-CN"/>
        </w:rPr>
        <w:t>4</w:t>
      </w:r>
      <w:r>
        <w:rPr>
          <w:rFonts w:hint="eastAsia" w:ascii="黑体" w:hAnsi="黑体" w:eastAsia="黑体" w:cs="黑体"/>
          <w:b/>
          <w:bCs/>
          <w:sz w:val="44"/>
          <w:szCs w:val="44"/>
        </w:rPr>
        <w:t>年度</w:t>
      </w:r>
      <w:r>
        <w:rPr>
          <w:rFonts w:hint="eastAsia" w:ascii="黑体" w:hAnsi="黑体" w:eastAsia="黑体" w:cs="黑体"/>
          <w:b/>
          <w:bCs/>
          <w:sz w:val="44"/>
          <w:szCs w:val="44"/>
          <w:lang w:val="en-US" w:eastAsia="zh-CN"/>
        </w:rPr>
        <w:t>整体支出绩效自评</w:t>
      </w:r>
      <w:r>
        <w:rPr>
          <w:rFonts w:hint="eastAsia" w:ascii="黑体" w:hAnsi="黑体" w:eastAsia="黑体" w:cs="黑体"/>
          <w:b/>
          <w:bCs/>
          <w:sz w:val="44"/>
          <w:szCs w:val="44"/>
        </w:rPr>
        <w:t>报告</w:t>
      </w:r>
    </w:p>
    <w:p w14:paraId="4970A8C3">
      <w:pPr>
        <w:rPr>
          <w:rFonts w:hint="eastAsia" w:asciiTheme="majorEastAsia" w:hAnsiTheme="majorEastAsia" w:eastAsiaTheme="majorEastAsia" w:cstheme="majorEastAsia"/>
          <w:sz w:val="30"/>
          <w:szCs w:val="30"/>
        </w:rPr>
      </w:pPr>
    </w:p>
    <w:p w14:paraId="371DFFA8">
      <w:pPr>
        <w:ind w:firstLine="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贯彻落实区委区政府《</w:t>
      </w:r>
      <w:r>
        <w:rPr>
          <w:rFonts w:hint="eastAsia" w:ascii="仿宋_GB2312" w:hAnsi="仿宋_GB2312" w:eastAsia="仿宋_GB2312" w:cs="仿宋_GB2312"/>
          <w:sz w:val="32"/>
          <w:szCs w:val="32"/>
          <w:lang w:eastAsia="zh-CN"/>
        </w:rPr>
        <w:t>石家庄市新华区区级部门项目绩效自评管理办法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石新财</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14:paraId="28F79803">
      <w:pPr>
        <w:keepNext w:val="0"/>
        <w:keepLines w:val="0"/>
        <w:widowControl w:val="0"/>
        <w:suppressLineNumbers w:val="0"/>
        <w:adjustRightInd w:val="0"/>
        <w:snapToGrid w:val="0"/>
        <w:spacing w:before="0" w:beforeAutospacing="0" w:after="0" w:afterAutospacing="0" w:line="560" w:lineRule="exact"/>
        <w:ind w:left="0" w:right="0"/>
        <w:jc w:val="both"/>
        <w:rPr>
          <w:rFonts w:hint="eastAsia" w:ascii="黑体" w:hAnsi="宋体" w:eastAsia="黑体" w:cs="黑体"/>
          <w:b/>
          <w:kern w:val="2"/>
          <w:sz w:val="32"/>
          <w:szCs w:val="32"/>
        </w:rPr>
      </w:pPr>
      <w:r>
        <w:rPr>
          <w:rFonts w:hint="eastAsia" w:ascii="黑体" w:hAnsi="宋体" w:eastAsia="黑体" w:cs="黑体"/>
          <w:kern w:val="2"/>
          <w:sz w:val="32"/>
          <w:szCs w:val="32"/>
          <w:lang w:val="en-US" w:eastAsia="zh-CN" w:bidi="ar"/>
        </w:rPr>
        <w:t xml:space="preserve">  一、部门基本情况</w:t>
      </w:r>
    </w:p>
    <w:p w14:paraId="7C0E6F11">
      <w:pPr>
        <w:keepNext w:val="0"/>
        <w:keepLines w:val="0"/>
        <w:widowControl w:val="0"/>
        <w:suppressLineNumbers w:val="0"/>
        <w:adjustRightInd w:val="0"/>
        <w:snapToGrid w:val="0"/>
        <w:spacing w:before="0" w:beforeAutospacing="0" w:after="0" w:afterAutospacing="0" w:line="560" w:lineRule="exact"/>
        <w:ind w:left="0" w:right="0" w:firstLine="640" w:firstLineChars="200"/>
        <w:jc w:val="both"/>
        <w:rPr>
          <w:rFonts w:hint="eastAsia" w:ascii="楷体" w:hAnsi="楷体" w:eastAsia="楷体" w:cs="楷体_GB2312"/>
          <w:kern w:val="2"/>
          <w:sz w:val="32"/>
          <w:szCs w:val="32"/>
        </w:rPr>
      </w:pPr>
      <w:r>
        <w:rPr>
          <w:rFonts w:hint="eastAsia" w:ascii="楷体" w:hAnsi="楷体" w:eastAsia="楷体" w:cs="楷体"/>
          <w:kern w:val="2"/>
          <w:sz w:val="32"/>
          <w:szCs w:val="32"/>
          <w:lang w:val="en-US" w:eastAsia="zh-CN" w:bidi="ar"/>
        </w:rPr>
        <w:t>（一）部门概况</w:t>
      </w:r>
    </w:p>
    <w:p w14:paraId="5BBC4F92">
      <w:pPr>
        <w:keepNext w:val="0"/>
        <w:keepLines w:val="0"/>
        <w:widowControl w:val="0"/>
        <w:suppressLineNumbers w:val="0"/>
        <w:adjustRightInd w:val="0"/>
        <w:snapToGrid w:val="0"/>
        <w:spacing w:before="0" w:beforeAutospacing="0" w:after="0" w:afterAutospacing="0" w:line="560" w:lineRule="exact"/>
        <w:ind w:left="0" w:right="0" w:firstLine="640" w:firstLineChars="20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石家庄市新华区统计局为一级预算单位，单位类型为行政单位。下属两个事业单位：新华区普查中心及农村社会调查队。在编人员15人，劳务派遣人员7人，退休人员11人 。</w:t>
      </w:r>
    </w:p>
    <w:p w14:paraId="268C857A">
      <w:pPr>
        <w:keepNext w:val="0"/>
        <w:keepLines w:val="0"/>
        <w:widowControl w:val="0"/>
        <w:suppressLineNumbers w:val="0"/>
        <w:adjustRightInd w:val="0"/>
        <w:snapToGrid w:val="0"/>
        <w:spacing w:before="0" w:beforeAutospacing="0" w:after="0" w:afterAutospacing="0" w:line="560" w:lineRule="exact"/>
        <w:ind w:left="0" w:right="0" w:firstLine="640" w:firstLineChars="20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本部门主要职能</w:t>
      </w:r>
    </w:p>
    <w:p w14:paraId="58E43211">
      <w:pPr>
        <w:keepNext w:val="0"/>
        <w:keepLines w:val="0"/>
        <w:widowControl w:val="0"/>
        <w:suppressLineNumbers w:val="0"/>
        <w:adjustRightInd w:val="0"/>
        <w:snapToGrid w:val="0"/>
        <w:spacing w:before="0" w:beforeAutospacing="0" w:after="0" w:afterAutospacing="0" w:line="560" w:lineRule="exact"/>
        <w:ind w:left="0" w:right="0" w:firstLine="640" w:firstLineChars="20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贯彻执行国家有关统计工作的法律、法规、政策，研究制订我区统计工作和有关的调查计划，组织领导和综合协调各部门的统计和国民经济核算工作，监督检查统计法律、法规的实施；根据宏观和科学决策的需要，建立健全区国民经济核算体系和统计指标体系，按照上级统一的基木统计报表制度和统计标准，完成统计报表工作；完成上级组织部署的重大国情国力普查及城市社会经济调查、农村经济调查等社会经济调查;组织全区统计报表的管理工作；搜集、整理、提供基本统计资料，并对国民经济、社会发展和科技进步情况进行统计分析、统计预测和统计监督，向区委、区政府提供咨询建议；统一核定、公布、印刷全区性的基本统计材料，定期发布全区国民经济和社会发展情况的统计公报;负责全区社会经济统计信息咨询服务行业规划、协调工作，积极培育和发展信息咨询服务市场；管理全区统计信息自动化系统和统计数据库体系，组织协调和统一管理统计数据库网络；承办区委、区政府交办的其他事项。</w:t>
      </w:r>
    </w:p>
    <w:p w14:paraId="204CAEF7">
      <w:pPr>
        <w:keepNext w:val="0"/>
        <w:keepLines w:val="0"/>
        <w:widowControl w:val="0"/>
        <w:numPr>
          <w:ilvl w:val="0"/>
          <w:numId w:val="1"/>
        </w:numPr>
        <w:suppressLineNumbers w:val="0"/>
        <w:adjustRightInd w:val="0"/>
        <w:snapToGrid w:val="0"/>
        <w:spacing w:before="0" w:beforeAutospacing="0" w:after="0" w:afterAutospacing="0" w:line="560" w:lineRule="exact"/>
        <w:ind w:left="0" w:right="0" w:firstLine="640" w:firstLineChars="200"/>
        <w:jc w:val="both"/>
        <w:rPr>
          <w:rFonts w:hint="eastAsia" w:ascii="楷体" w:hAnsi="楷体" w:eastAsia="楷体" w:cs="楷体"/>
          <w:kern w:val="2"/>
          <w:sz w:val="32"/>
          <w:szCs w:val="32"/>
          <w:lang w:val="en-US" w:eastAsia="zh-CN" w:bidi="ar"/>
        </w:rPr>
      </w:pPr>
      <w:r>
        <w:rPr>
          <w:rFonts w:hint="eastAsia" w:ascii="楷体" w:hAnsi="楷体" w:eastAsia="楷体" w:cs="楷体"/>
          <w:kern w:val="2"/>
          <w:sz w:val="32"/>
          <w:szCs w:val="32"/>
          <w:lang w:val="en-US" w:eastAsia="zh-CN" w:bidi="ar"/>
        </w:rPr>
        <w:t>部门收支预决算情况</w:t>
      </w:r>
    </w:p>
    <w:p w14:paraId="0BD28687">
      <w:pPr>
        <w:keepNext w:val="0"/>
        <w:keepLines w:val="0"/>
        <w:widowControl w:val="0"/>
        <w:numPr>
          <w:ilvl w:val="0"/>
          <w:numId w:val="0"/>
        </w:numPr>
        <w:suppressLineNumbers w:val="0"/>
        <w:adjustRightInd w:val="0"/>
        <w:snapToGrid w:val="0"/>
        <w:spacing w:before="0" w:beforeAutospacing="0" w:after="0" w:afterAutospacing="0" w:line="560" w:lineRule="exact"/>
        <w:ind w:right="0" w:rightChars="0" w:firstLine="640" w:firstLineChars="20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根据区财政局《关于批复2025年部门预算的通知》批复区统计局2025年度收入决算金额420.06万元，支出决算金额408.864万元，其中财政拨款支出其中基本支出金额318.322万元，项目支出金额90.326万元。 </w:t>
      </w:r>
    </w:p>
    <w:p w14:paraId="021AEA11">
      <w:pPr>
        <w:keepNext w:val="0"/>
        <w:keepLines w:val="0"/>
        <w:widowControl w:val="0"/>
        <w:numPr>
          <w:ilvl w:val="0"/>
          <w:numId w:val="1"/>
        </w:numPr>
        <w:suppressLineNumbers w:val="0"/>
        <w:adjustRightInd w:val="0"/>
        <w:snapToGrid w:val="0"/>
        <w:spacing w:before="0" w:beforeAutospacing="0" w:after="0" w:afterAutospacing="0" w:line="560" w:lineRule="exact"/>
        <w:ind w:left="0" w:leftChars="0" w:right="0" w:firstLine="643" w:firstLineChars="200"/>
        <w:jc w:val="both"/>
        <w:rPr>
          <w:rFonts w:hint="eastAsia" w:ascii="楷体" w:hAnsi="楷体" w:eastAsia="楷体" w:cs="楷体"/>
          <w:b/>
          <w:bCs/>
          <w:kern w:val="2"/>
          <w:sz w:val="32"/>
          <w:szCs w:val="32"/>
          <w:lang w:val="en-US" w:eastAsia="zh-CN" w:bidi="ar"/>
        </w:rPr>
      </w:pPr>
      <w:r>
        <w:rPr>
          <w:rFonts w:hint="eastAsia" w:ascii="楷体" w:hAnsi="楷体" w:eastAsia="楷体" w:cs="楷体"/>
          <w:b/>
          <w:bCs/>
          <w:kern w:val="2"/>
          <w:sz w:val="32"/>
          <w:szCs w:val="32"/>
          <w:lang w:val="en-US" w:eastAsia="zh-CN" w:bidi="ar"/>
        </w:rPr>
        <w:t>部门整体支出绩效目标、指标</w:t>
      </w:r>
    </w:p>
    <w:p w14:paraId="5B74C04D">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1"/>
        <w:rPr>
          <w:rFonts w:hint="eastAsia" w:ascii="仿宋_GB2312" w:hAnsi="仿宋_GB2312" w:eastAsia="仿宋_GB2312" w:cs="仿宋_GB2312"/>
          <w:b w:val="0"/>
          <w:kern w:val="2"/>
          <w:sz w:val="32"/>
          <w:szCs w:val="32"/>
        </w:rPr>
      </w:pPr>
      <w:r>
        <w:rPr>
          <w:rFonts w:hint="eastAsia" w:ascii="仿宋" w:hAnsi="仿宋" w:eastAsia="仿宋" w:cs="仿宋"/>
          <w:kern w:val="2"/>
          <w:sz w:val="32"/>
          <w:szCs w:val="32"/>
          <w:lang w:val="en-US" w:eastAsia="zh-CN" w:bidi="ar"/>
        </w:rPr>
        <w:t>总体绩效目标：</w:t>
      </w:r>
      <w:r>
        <w:rPr>
          <w:rFonts w:hint="eastAsia" w:ascii="仿宋" w:hAnsi="仿宋" w:eastAsia="仿宋" w:cs="仿宋"/>
          <w:b w:val="0"/>
          <w:kern w:val="2"/>
          <w:sz w:val="32"/>
          <w:szCs w:val="32"/>
          <w:lang w:val="en-US" w:eastAsia="zh-CN" w:bidi="ar"/>
        </w:rPr>
        <w:t>坚持以习近平新时代中国特色社会主义思想为指导，围绕区委、区政府和国家、省、市统计局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法治宣传教育，提高社会公众对统计法的认识。加强统计执法</w:t>
      </w:r>
      <w:r>
        <w:rPr>
          <w:rFonts w:hint="eastAsia" w:ascii="仿宋_GB2312" w:hAnsi="仿宋_GB2312" w:eastAsia="仿宋_GB2312" w:cs="仿宋_GB2312"/>
          <w:b w:val="0"/>
          <w:kern w:val="2"/>
          <w:sz w:val="32"/>
          <w:szCs w:val="32"/>
          <w:lang w:val="en-US" w:eastAsia="zh-CN" w:bidi="ar"/>
        </w:rPr>
        <w:t>检查监督，依纪依法查处统计违法案件。认真落实中央和省委要求，组织开展好整治统计造假专项行动。严格执行数据质量管理办法，规范数据生产流程，加强基础数据质量管理。为推进国家治理体系和治理能力现代化提供坚实统计保障，为新时代全面建设经济强区、魅力新华贡献统计智慧和力量。</w:t>
      </w:r>
    </w:p>
    <w:p w14:paraId="2343B31A">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outlineLvl w:val="1"/>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分项绩效目标</w:t>
      </w:r>
    </w:p>
    <w:p w14:paraId="1B5B8425">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1、国情国力普查及重要调查</w:t>
      </w:r>
    </w:p>
    <w:p w14:paraId="5980A971">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绩效目标：按照国家统计局、财政部关于印发《关于统计部门周期性普查和大型调查经费开支问题的暂行规定》，完成人口普查资料开发工作，确保人口普查工作的顺利完成。严格执行数据质量管理办法，规范数据生产流程，加强基础数据质量管理。</w:t>
      </w:r>
    </w:p>
    <w:p w14:paraId="2023770B">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绩效指标：人口普查统计资料开发编印1种；统计分析报告不少于2篇；年度预算资金执行率不低于90%。</w:t>
      </w:r>
    </w:p>
    <w:p w14:paraId="5B7CC1FF">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2、专项统计调查</w:t>
      </w:r>
    </w:p>
    <w:p w14:paraId="567CBE45">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绩效目标：组织开展服务业统计、劳动力调查、1%人口抽样调查统计、城乡一体化等专项统计调查工作；完成统计数据采集及辖区各单位统计数据确认，进行统计科学研究和统计分析，为经济决策提供依据。严格执行数据质量管理办法，规范数据生产流程，加强基础数据质量管理。</w:t>
      </w:r>
    </w:p>
    <w:p w14:paraId="32B5210E">
      <w:pPr>
        <w:keepNext w:val="0"/>
        <w:keepLines w:val="0"/>
        <w:pageBreakBefore w:val="0"/>
        <w:widowControl w:val="0"/>
        <w:suppressLineNumbers w:val="0"/>
        <w:kinsoku/>
        <w:wordWrap/>
        <w:overflowPunct/>
        <w:topLinePunct w:val="0"/>
        <w:autoSpaceDN/>
        <w:bidi w:val="0"/>
        <w:adjustRightInd/>
        <w:snapToGrid/>
        <w:spacing w:beforeAutospacing="0" w:afterAutospacing="0" w:line="240" w:lineRule="auto"/>
        <w:ind w:left="0" w:leftChars="0" w:right="0" w:rightChars="0" w:firstLine="640" w:firstLineChars="200"/>
        <w:jc w:val="both"/>
        <w:textAlignment w:val="auto"/>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绩效指标：统计信息发布不少于2篇；确保统计数据采集、全区及各街道办事处数据确认12次；年度预算资金执行率不低于90%。</w:t>
      </w:r>
    </w:p>
    <w:p w14:paraId="3124D69E">
      <w:pPr>
        <w:keepNext w:val="0"/>
        <w:keepLines w:val="0"/>
        <w:pageBreakBefore w:val="0"/>
        <w:widowControl w:val="0"/>
        <w:suppressLineNumbers w:val="0"/>
        <w:kinsoku/>
        <w:wordWrap/>
        <w:overflowPunct/>
        <w:topLinePunct w:val="0"/>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3、统计政务管理</w:t>
      </w:r>
    </w:p>
    <w:p w14:paraId="4C98D385">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绩效目标：为了服务于全区经济建设，更好地为各级领导提供决策依据，实现各级职能部门之间的资源共享，同时也便于各部门历史资料的留存。编制新华区《2025年统计年鉴》。</w:t>
      </w:r>
    </w:p>
    <w:p w14:paraId="442CCB3B">
      <w:pPr>
        <w:keepNext w:val="0"/>
        <w:keepLines w:val="0"/>
        <w:pageBreakBefore w:val="0"/>
        <w:widowControl w:val="0"/>
        <w:suppressLineNumbers w:val="0"/>
        <w:kinsoku/>
        <w:wordWrap/>
        <w:overflowPunct/>
        <w:topLinePunct w:val="0"/>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健全全区统计法制建设，严格查处统计违法现象；加强统计执法检查监督，依纪依法查处统计违法案件。认真落实中央和省委要求，组织开展好整治统计造假专项行动。保障统计资料科学管理与应用和机关正常运转。</w:t>
      </w:r>
    </w:p>
    <w:p w14:paraId="1EE992D6">
      <w:pPr>
        <w:keepNext w:val="0"/>
        <w:keepLines w:val="0"/>
        <w:pageBreakBefore w:val="0"/>
        <w:widowControl w:val="0"/>
        <w:suppressLineNumbers w:val="0"/>
        <w:kinsoku/>
        <w:wordWrap/>
        <w:overflowPunct/>
        <w:topLinePunct w:val="0"/>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lang w:val="en-US" w:eastAsia="zh-CN" w:bidi="ar"/>
        </w:rPr>
        <w:t>绩效指标：统计年鉴资料征集种类不低于15类；资料服务满意度不低于90%；年度预算资金执行率不低于90%。</w:t>
      </w:r>
    </w:p>
    <w:p w14:paraId="20D988FF">
      <w:pPr>
        <w:keepNext w:val="0"/>
        <w:keepLines w:val="0"/>
        <w:widowControl w:val="0"/>
        <w:suppressLineNumbers w:val="0"/>
        <w:adjustRightInd w:val="0"/>
        <w:snapToGrid w:val="0"/>
        <w:spacing w:before="0" w:beforeAutospacing="0" w:after="0" w:afterAutospacing="0" w:line="560" w:lineRule="exact"/>
        <w:ind w:left="0" w:right="0" w:firstLine="640" w:firstLineChars="200"/>
        <w:jc w:val="both"/>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二、自评工作开展情况</w:t>
      </w:r>
    </w:p>
    <w:p w14:paraId="7973996F">
      <w:pPr>
        <w:keepNext w:val="0"/>
        <w:keepLines w:val="0"/>
        <w:widowControl w:val="0"/>
        <w:suppressLineNumbers w:val="0"/>
        <w:spacing w:before="0" w:beforeAutospacing="0" w:after="0" w:afterAutospacing="0" w:line="560" w:lineRule="exact"/>
        <w:ind w:left="0" w:right="0"/>
        <w:jc w:val="both"/>
        <w:rPr>
          <w:rFonts w:hint="eastAsia" w:ascii="楷体" w:hAnsi="楷体" w:eastAsia="楷体" w:cs="楷体_GB2312"/>
          <w:kern w:val="2"/>
          <w:sz w:val="32"/>
          <w:szCs w:val="32"/>
        </w:rPr>
      </w:pPr>
      <w:r>
        <w:rPr>
          <w:rFonts w:hint="eastAsia" w:ascii="仿宋" w:hAnsi="仿宋" w:eastAsia="仿宋" w:cs="楷体_GB2312"/>
          <w:b/>
          <w:kern w:val="2"/>
          <w:sz w:val="32"/>
          <w:szCs w:val="32"/>
          <w:lang w:val="en-US" w:eastAsia="zh-CN" w:bidi="ar"/>
        </w:rPr>
        <w:t xml:space="preserve">    </w:t>
      </w:r>
      <w:r>
        <w:rPr>
          <w:rFonts w:hint="eastAsia" w:ascii="楷体" w:hAnsi="楷体" w:eastAsia="楷体" w:cs="楷体"/>
          <w:kern w:val="2"/>
          <w:sz w:val="32"/>
          <w:szCs w:val="32"/>
          <w:lang w:val="en-US" w:eastAsia="zh-CN" w:bidi="ar"/>
        </w:rPr>
        <w:t>（一）自评的组织工作</w:t>
      </w:r>
    </w:p>
    <w:p w14:paraId="5D739C45">
      <w:pPr>
        <w:keepNext w:val="0"/>
        <w:keepLines w:val="0"/>
        <w:widowControl w:val="0"/>
        <w:suppressLineNumbers w:val="0"/>
        <w:spacing w:before="0" w:beforeAutospacing="0" w:after="0" w:afterAutospacing="0" w:line="560" w:lineRule="exact"/>
        <w:ind w:left="0" w:right="0"/>
        <w:jc w:val="both"/>
        <w:rPr>
          <w:rFonts w:hint="eastAsia" w:ascii="仿宋" w:hAnsi="仿宋" w:eastAsia="仿宋" w:cs="仿宋"/>
          <w:kern w:val="2"/>
          <w:sz w:val="32"/>
          <w:szCs w:val="32"/>
          <w:lang w:val="en-US" w:eastAsia="zh-CN" w:bidi="ar"/>
        </w:rPr>
      </w:pPr>
      <w:r>
        <w:rPr>
          <w:rFonts w:hint="eastAsia" w:ascii="仿宋" w:hAnsi="仿宋" w:eastAsia="仿宋" w:cs="黑体"/>
          <w:kern w:val="2"/>
          <w:sz w:val="32"/>
          <w:szCs w:val="32"/>
          <w:lang w:val="en-US" w:eastAsia="zh-CN" w:bidi="ar"/>
        </w:rPr>
        <w:t xml:space="preserve">     </w:t>
      </w:r>
      <w:r>
        <w:rPr>
          <w:rFonts w:hint="eastAsia" w:ascii="仿宋" w:hAnsi="仿宋" w:eastAsia="仿宋" w:cs="仿宋"/>
          <w:kern w:val="2"/>
          <w:sz w:val="32"/>
          <w:szCs w:val="32"/>
          <w:lang w:val="en-US" w:eastAsia="zh-CN" w:bidi="ar"/>
        </w:rPr>
        <w:t xml:space="preserve"> 1.领导高度重视，加强组织保障。区统计局高度重视预算绩效管理工作，成立了预算绩效管理领导小组和内部控制建设领导小组，统计局局长赵冉微同志担任领导小组组长，王庆利副局长、普查中心主任米宁同志担任副组长，各股股长为小组成员。领导小组下设办公室，主管财务工作的同志兼任办公室主任，办公室设在局办公室，负责预算绩效管理各项具体工作。预算绩效自评工作实行领导责任制，主要领导亲自安排部署预算绩效自评工作，分管领导具体抓落实情况，形成一级抓一级，层层抓落实的工作运行机制。领导机构和工作机制的建立为部门开展绩效自评提供了坚实组织保障。</w:t>
      </w:r>
    </w:p>
    <w:p w14:paraId="532EEDD1">
      <w:pPr>
        <w:keepNext w:val="0"/>
        <w:keepLines w:val="0"/>
        <w:widowControl w:val="0"/>
        <w:numPr>
          <w:ilvl w:val="0"/>
          <w:numId w:val="2"/>
        </w:numPr>
        <w:suppressLineNumbers w:val="0"/>
        <w:spacing w:before="0" w:beforeAutospacing="0" w:after="0" w:afterAutospacing="0" w:line="560" w:lineRule="exact"/>
        <w:ind w:left="642" w:right="0" w:firstLine="0"/>
        <w:jc w:val="both"/>
        <w:rPr>
          <w:rFonts w:hint="eastAsia" w:ascii="楷体" w:hAnsi="楷体" w:eastAsia="楷体" w:cs="楷体_GB2312"/>
          <w:kern w:val="2"/>
          <w:sz w:val="32"/>
          <w:szCs w:val="32"/>
        </w:rPr>
      </w:pPr>
      <w:r>
        <w:rPr>
          <w:rFonts w:hint="eastAsia" w:ascii="楷体" w:hAnsi="楷体" w:eastAsia="楷体" w:cs="楷体"/>
          <w:kern w:val="2"/>
          <w:sz w:val="32"/>
          <w:szCs w:val="32"/>
          <w:lang w:val="en-US" w:eastAsia="zh-CN" w:bidi="ar"/>
        </w:rPr>
        <w:t>自评的方法和过程</w:t>
      </w:r>
    </w:p>
    <w:p w14:paraId="32B64497">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0"/>
        <w:jc w:val="both"/>
        <w:textAlignment w:val="auto"/>
        <w:outlineLvl w:val="9"/>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1、办公室财务牵头组织所有项目涉及专业召开专题会议，部署项目预算绩效自评工作，提出工作要求，压实工作责任，细化职责分工，准确把握工作要求，明确专人负责。学习《石家庄市新华区财政局关于开展2025年财政专项资金部门绩效自评价以及重点评价工作的通知》。组织各项目专业认真学习《关于全面落实预算绩效管理的实施意见》（新华发〔2019〕9号），严格评价标准，准确把握绩效评价的内容与方法，确保评价质量。同时，实行专人负责制，安排综合素质高、工作责任心强的人员作为从事预算项目绩效自评工作，各项目专业人员均按要求制定了绩效评价方案，有序推进工作进度，部门上下协调联动，形成工作合力，确保绩效自评工作的顺利开展。</w:t>
      </w:r>
    </w:p>
    <w:p w14:paraId="0F5279FB">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2、全面核查汇总，对标对表评价。区统计局对2025年预算项目绩效自评实施全覆盖，经认真查阅2025年度预算安排、预算追加、资金管理、经费支出等相关文件资料和财务凭证、账簿，对2025年度财政预算项目支出数据的准确性、真实性进行了逐项核实。对照设定的预期绩效目标、绩效评价指标、评价标准和评价方法，根据项目单位提供的调查方案、报表制度、资料汇编、评估报告、文件通知、成果手册、信息分析等相关佐证资料，对预算项目的经济性、时效性和效益性等方面进行客观公正的量化评价，经综合分析、归纳汇总形成项目自评报告，交由绩效评价工作领导小组进行全面审核。审核通过后，形成格式规范、内容完整的部门绩效自评专题报告按时报送新华区财政局。</w:t>
      </w:r>
    </w:p>
    <w:p w14:paraId="582BC5DD">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b/>
          <w:kern w:val="2"/>
          <w:sz w:val="32"/>
          <w:szCs w:val="32"/>
        </w:rPr>
      </w:pPr>
      <w:r>
        <w:rPr>
          <w:rFonts w:hint="eastAsia" w:ascii="黑体" w:hAnsi="宋体" w:eastAsia="黑体" w:cs="黑体"/>
          <w:kern w:val="2"/>
          <w:sz w:val="32"/>
          <w:szCs w:val="32"/>
          <w:lang w:val="en-US" w:eastAsia="zh-CN" w:bidi="ar"/>
        </w:rPr>
        <w:t xml:space="preserve">    三、部门整体支出绩效目标实现情况及指标分析</w:t>
      </w:r>
    </w:p>
    <w:p w14:paraId="6D87A024">
      <w:pPr>
        <w:keepNext w:val="0"/>
        <w:keepLines w:val="0"/>
        <w:widowControl w:val="0"/>
        <w:numPr>
          <w:ilvl w:val="0"/>
          <w:numId w:val="3"/>
        </w:numPr>
        <w:suppressLineNumbers w:val="0"/>
        <w:spacing w:before="0" w:beforeAutospacing="0" w:after="0" w:afterAutospacing="0" w:line="560" w:lineRule="exact"/>
        <w:ind w:left="0" w:right="0" w:firstLine="640" w:firstLineChars="200"/>
        <w:jc w:val="both"/>
        <w:rPr>
          <w:rFonts w:hint="eastAsia" w:ascii="仿宋" w:hAnsi="仿宋" w:eastAsia="仿宋" w:cs="黑体"/>
          <w:kern w:val="2"/>
          <w:sz w:val="32"/>
          <w:szCs w:val="32"/>
        </w:rPr>
      </w:pPr>
      <w:r>
        <w:rPr>
          <w:rFonts w:hint="eastAsia" w:ascii="楷体" w:hAnsi="楷体" w:eastAsia="楷体" w:cs="楷体"/>
          <w:kern w:val="2"/>
          <w:sz w:val="32"/>
          <w:szCs w:val="32"/>
          <w:lang w:val="en-US" w:eastAsia="zh-CN" w:bidi="ar"/>
        </w:rPr>
        <w:t>总体绩效目标实现情况</w:t>
      </w:r>
    </w:p>
    <w:p w14:paraId="739D3BBE">
      <w:pPr>
        <w:keepNext w:val="0"/>
        <w:keepLines w:val="0"/>
        <w:widowControl w:val="0"/>
        <w:numPr>
          <w:ilvl w:val="0"/>
          <w:numId w:val="0"/>
        </w:numPr>
        <w:suppressLineNumbers w:val="0"/>
        <w:spacing w:before="0" w:beforeAutospacing="0" w:after="0" w:afterAutospacing="0" w:line="560" w:lineRule="exact"/>
        <w:ind w:leftChars="200"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本年度，区统计局坚持以习近平新时代中国特色社会</w:t>
      </w:r>
    </w:p>
    <w:p w14:paraId="06343B07">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主义思想为指导，深入贯彻省、市、区政府决策部署，聚焦改革创新，狠抓数据质量，推动各项工作落地见效。一是机关党建得到全面加强。按照学思用贯通、知信行统一要求，加强理论学习，坚持全面从严治党，自觉接受市委巡视，积极配合做好巡察工作，充分发挥党支部示范引领作用，加强党史国史教育筑牢思想根基。二是统计改革创新迈出坚实步伐。扎实推进地区生产总值统一核算，认真开展自然资源资产负债表编制。配合做好各项审计工作，提供相关指标数据资料。抓好防范化解重大风险隐患。四是统计服务更加精准高效。强化经济运行监测和预警预判，加强统计监测评价。五是统计数据不断求真求实。加强源头数据把控，开展实地核查。六是统计法治建设迈上新台阶。推动落实“双随机”制度，深入开展统计造假专项整治，形成惩治统计违纪违法行为高压态势，严查统计违纪违法行为。</w:t>
      </w:r>
    </w:p>
    <w:p w14:paraId="209EAFD3">
      <w:pPr>
        <w:keepNext w:val="0"/>
        <w:keepLines w:val="0"/>
        <w:widowControl w:val="0"/>
        <w:suppressLineNumbers w:val="0"/>
        <w:spacing w:before="0" w:beforeAutospacing="0" w:after="0" w:afterAutospacing="0" w:line="560" w:lineRule="exact"/>
        <w:ind w:left="0" w:right="0"/>
        <w:jc w:val="both"/>
        <w:rPr>
          <w:rFonts w:hint="eastAsia" w:ascii="楷体" w:hAnsi="楷体" w:eastAsia="楷体" w:cs="黑体"/>
          <w:kern w:val="2"/>
          <w:sz w:val="32"/>
          <w:szCs w:val="32"/>
        </w:rPr>
      </w:pPr>
      <w:r>
        <w:rPr>
          <w:rFonts w:hint="eastAsia" w:ascii="楷体" w:hAnsi="楷体" w:eastAsia="楷体" w:cs="楷体"/>
          <w:kern w:val="2"/>
          <w:sz w:val="32"/>
          <w:szCs w:val="32"/>
          <w:lang w:val="en-US" w:eastAsia="zh-CN" w:bidi="ar"/>
        </w:rPr>
        <w:t>（二）分项绩效目标实现情况及指标分析</w:t>
      </w:r>
    </w:p>
    <w:p w14:paraId="3C240CFD">
      <w:pPr>
        <w:keepNext w:val="0"/>
        <w:keepLines w:val="0"/>
        <w:widowControl w:val="0"/>
        <w:numPr>
          <w:ilvl w:val="0"/>
          <w:numId w:val="0"/>
        </w:numPr>
        <w:suppressLineNumbers w:val="0"/>
        <w:spacing w:before="0" w:beforeAutospacing="0" w:after="0" w:afterAutospacing="0" w:line="560" w:lineRule="exact"/>
        <w:ind w:leftChars="200"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1.新华区统计年鉴经费</w:t>
      </w:r>
    </w:p>
    <w:p w14:paraId="1418E42F">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高度重视新华区统计年鉴编辑工作，成立年鉴编撰委员会和编辑部。项目组织实施过程中，项目单位根据年初制定的绩效目标，进行了任务分解，严格按照年度工作计划开展新华区统计年鉴及研究的各项工作。一是高质量完成了新华区统计年鉴及研究预算项目所涉及的全部工作。二是正式编撰并出版发行了2025卷《新华区统计年鉴》。为区委、区政府和各部门进行社会管理与经济决策提供全面统计数据,为社会各界提供可开放的统计数据。从实际工作开展情况看，实现了年度制定的项目绩效目标。</w:t>
      </w:r>
    </w:p>
    <w:p w14:paraId="7C0F1D30">
      <w:pPr>
        <w:keepNext w:val="0"/>
        <w:keepLines w:val="0"/>
        <w:widowControl w:val="0"/>
        <w:numPr>
          <w:ilvl w:val="0"/>
          <w:numId w:val="0"/>
        </w:numPr>
        <w:suppressLineNumbers w:val="0"/>
        <w:spacing w:before="0" w:beforeAutospacing="0" w:after="0" w:afterAutospacing="0" w:line="560" w:lineRule="exact"/>
        <w:ind w:leftChars="200"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2.城乡一体化调查经费</w:t>
      </w:r>
    </w:p>
    <w:p w14:paraId="267EECE8">
      <w:pPr>
        <w:keepNext w:val="0"/>
        <w:keepLines w:val="0"/>
        <w:widowControl w:val="0"/>
        <w:numPr>
          <w:ilvl w:val="0"/>
          <w:numId w:val="0"/>
        </w:numPr>
        <w:suppressLineNumbers w:val="0"/>
        <w:spacing w:before="0" w:beforeAutospacing="0" w:after="0" w:afterAutospacing="0" w:line="560" w:lineRule="exact"/>
        <w:ind w:leftChars="200"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城乡一体化入户调查项目组织实施过程中，按照既定</w:t>
      </w:r>
    </w:p>
    <w:p w14:paraId="2C41D777">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方案和计划，稳步推进城乡一体化调查各项工作。按照河北省人民政府</w:t>
      </w:r>
      <w:bookmarkStart w:id="0" w:name="_GoBack"/>
      <w:bookmarkEnd w:id="0"/>
      <w:r>
        <w:rPr>
          <w:rFonts w:hint="eastAsia" w:ascii="仿宋" w:hAnsi="仿宋" w:eastAsia="仿宋" w:cs="仿宋"/>
          <w:kern w:val="2"/>
          <w:sz w:val="32"/>
          <w:szCs w:val="32"/>
          <w:lang w:val="en-US" w:eastAsia="zh-CN" w:bidi="ar"/>
        </w:rPr>
        <w:t>办公厅办[2012]131号、石调字[2012]28号文件要求，为了了解居民家庭人口、就业、收入、支出、消费、手存现金、商品需求、家庭主要耐用品拥有和住房等变化情况，协助国家和各级地方政府及时掌握城市居民家庭生活情况，解决居民生活中的困难，改善居民生活，按照《城市住户调查方案》要求，我区2025年被抽中7个居委会70户居民进行记账，为了提高记账户的积极性，提高记账质量，省市要求每月需对记账户和居委会协助调查人员各补助800元，辅助调查员21人，每月月初收取账本的同时将调查记账款转入调查员以及辅助调查员账户。从实际工作开展情况看，实现了年度制定的项目绩效目标。</w:t>
      </w:r>
    </w:p>
    <w:p w14:paraId="4A8F92D6">
      <w:pPr>
        <w:keepNext w:val="0"/>
        <w:keepLines w:val="0"/>
        <w:widowControl w:val="0"/>
        <w:numPr>
          <w:ilvl w:val="0"/>
          <w:numId w:val="0"/>
        </w:numPr>
        <w:suppressLineNumbers w:val="0"/>
        <w:spacing w:before="0" w:beforeAutospacing="0" w:after="0" w:afterAutospacing="0" w:line="560" w:lineRule="exact"/>
        <w:ind w:leftChars="200"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3.综合统计业务经费</w:t>
      </w:r>
    </w:p>
    <w:p w14:paraId="31F69062">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根据国家统计局部署，按照统计制度，依托“企业一</w:t>
      </w:r>
    </w:p>
    <w:p w14:paraId="24B6262D">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套表”平台，用统一的统计分类标准和编码, 组织开展服务业统计等专项统计调查工作。严格按照国家统计制度分行业报表规定的调查内容、上报时间独立自行报送数据。严格执行数据质量管理办法，规范数据生产流程，加强基础数据质量管理。完成统计数据采集、审核和分析，提供规模以上服务业经营业法人单位全面调查，规模以下服务业统计等资料，收集、汇总、整理统计数据，对国民经济、社会发展、科技进步和资源环境等情况进行统计分析、统计预测和统计监督。提供大量的统计信息和咨询建议，为各级政府制定政策和规划、进行经济管理与调控决策提供有力的统计支撑。从实际工作开展情况看，圆满实现了年度制定的项目绩效目标。</w:t>
      </w:r>
    </w:p>
    <w:p w14:paraId="49E7AD4F">
      <w:pPr>
        <w:keepNext w:val="0"/>
        <w:keepLines w:val="0"/>
        <w:widowControl w:val="0"/>
        <w:numPr>
          <w:ilvl w:val="0"/>
          <w:numId w:val="0"/>
        </w:numPr>
        <w:suppressLineNumbers w:val="0"/>
        <w:spacing w:before="0" w:beforeAutospacing="0" w:after="0" w:afterAutospacing="0" w:line="560" w:lineRule="exact"/>
        <w:ind w:leftChars="200"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4.统计抽样调查经费</w:t>
      </w:r>
    </w:p>
    <w:p w14:paraId="3D5588F8">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根据《河北省人民政府办公厅关于建立全省劳动力调</w:t>
      </w:r>
    </w:p>
    <w:p w14:paraId="15EFB55A">
      <w:pPr>
        <w:keepNext w:val="0"/>
        <w:keepLines w:val="0"/>
        <w:widowControl w:val="0"/>
        <w:numPr>
          <w:ilvl w:val="0"/>
          <w:numId w:val="0"/>
        </w:numPr>
        <w:suppressLineNumbers w:val="0"/>
        <w:spacing w:before="0" w:beforeAutospacing="0" w:after="0" w:afterAutospacing="0" w:line="560" w:lineRule="exact"/>
        <w:ind w:right="0" w:rightChars="0"/>
        <w:jc w:val="both"/>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查制度的通知》规定，全国大城市和省会城市将每月开展一次月度劳动力抽样调查。从2009年3月开始。我区每月对辖区内9个街道2个村、15个社区的272人进行调查。严格按照《全国月度劳动力调查制度》和省、市队制定的专业调查制度办法进行入户调查，并且制定了本区月度劳动力调查考核办法。以总队下发的台账模板为基础，做好调查过程各环节的台账填报登记和调查质量控制。调查资料按规定及时保存归档，保存完整有序。根据《河北省人民政府办公厅关于做好2015年全省1%人口抽样调查的通知》文件规定，在2025年标准时点11月1日零时。对我区1%人口变动调查共抽取12个调查小区约1200户居民进行人口变动抽样调查,调查内容包括常住户和流动人口的基本情况、出生和死亡人口等多个项目。从调查的组织宣传、入户调查、编码验收、数据分析等方面实时关注联网平台，对已上报数据及时审核、编码，对有疑问的调查内容及时联系调查员确认核实，全流程保证劳动力调查数据以及1%抽样调查数据质量。从实际工作开展情况看，实现了年度制定的项目绩效目标。</w:t>
      </w:r>
    </w:p>
    <w:p w14:paraId="4F6F9506">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四、评价结论和评价等级</w:t>
      </w:r>
    </w:p>
    <w:p w14:paraId="7A037B07">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rPr>
      </w:pPr>
      <w:r>
        <w:rPr>
          <w:rFonts w:hint="eastAsia" w:ascii="宋体" w:hAnsi="宋体" w:eastAsia="宋体" w:cs="宋体"/>
          <w:kern w:val="2"/>
          <w:sz w:val="30"/>
          <w:szCs w:val="30"/>
          <w:lang w:val="en-US" w:eastAsia="zh-CN" w:bidi="ar"/>
        </w:rPr>
        <w:t xml:space="preserve">     </w:t>
      </w:r>
      <w:r>
        <w:rPr>
          <w:rFonts w:hint="eastAsia" w:ascii="仿宋" w:hAnsi="仿宋" w:eastAsia="仿宋" w:cs="仿宋"/>
          <w:kern w:val="2"/>
          <w:sz w:val="32"/>
          <w:szCs w:val="32"/>
          <w:lang w:val="en-US" w:eastAsia="zh-CN" w:bidi="ar"/>
        </w:rPr>
        <w:t>2025年，区统计局认真贯彻预算绩效管理工作要求，规范开展预算项目绩效自评，利用定性、定量分析和综合评价相结合的方法，预算项目自评工作做到了全覆盖。预算项目绩效自评工作开展顺利，全部根据制定的绩效目标，进行了任务分解。严格按照既定方案和计划组织实施，确保专款专用。所有开支均按照单位财务管理制度执行，对资金的使用严格把关，各项目的运行完全按照单位财务管理规定、预算管理办法、内部控制制度的有关规定执行。各个预算项目资金使用与具体项目实施内容相符，绩效目标和绩效指标都已全部按照计划完成，均达到了预期目标。</w:t>
      </w:r>
    </w:p>
    <w:p w14:paraId="7BC32A7F">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黑体" w:hAnsi="宋体" w:eastAsia="黑体" w:cs="黑体"/>
          <w:kern w:val="2"/>
          <w:sz w:val="32"/>
          <w:szCs w:val="32"/>
          <w:lang w:val="en-US" w:eastAsia="zh-CN" w:bidi="ar"/>
        </w:rPr>
      </w:pPr>
      <w:r>
        <w:rPr>
          <w:rFonts w:hint="eastAsia" w:ascii="仿宋" w:hAnsi="仿宋" w:eastAsia="仿宋" w:cs="仿宋"/>
          <w:kern w:val="2"/>
          <w:sz w:val="32"/>
          <w:szCs w:val="32"/>
          <w:lang w:val="en-US" w:eastAsia="zh-CN" w:bidi="ar"/>
        </w:rPr>
        <w:t>通过预算项目绩效自评，准确反映出区统计局预算编制科学，预算执行准确，合理的安排支出，节约了资金，保证了全年统计工作任务的完成。各项绩效目标圆满实现，综合绩效评价结果均为“优”。</w:t>
      </w:r>
    </w:p>
    <w:p w14:paraId="41E6D7B4">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黑体"/>
          <w:kern w:val="2"/>
          <w:sz w:val="32"/>
          <w:szCs w:val="32"/>
        </w:rPr>
      </w:pPr>
      <w:r>
        <w:rPr>
          <w:rFonts w:hint="eastAsia" w:ascii="黑体" w:hAnsi="宋体" w:eastAsia="黑体" w:cs="黑体"/>
          <w:kern w:val="2"/>
          <w:sz w:val="32"/>
          <w:szCs w:val="32"/>
          <w:lang w:val="en-US" w:eastAsia="zh-CN" w:bidi="ar"/>
        </w:rPr>
        <w:t>五、存在的问题及改进措施</w:t>
      </w:r>
    </w:p>
    <w:p w14:paraId="59BD91B1">
      <w:pPr>
        <w:keepNext w:val="0"/>
        <w:keepLines w:val="0"/>
        <w:widowControl w:val="0"/>
        <w:suppressLineNumbers w:val="0"/>
        <w:spacing w:before="0" w:beforeAutospacing="0" w:after="0" w:afterAutospacing="0" w:line="560" w:lineRule="exact"/>
        <w:ind w:left="0" w:right="0" w:firstLine="640" w:firstLineChars="200"/>
        <w:jc w:val="both"/>
        <w:rPr>
          <w:rFonts w:hint="eastAsia" w:ascii="楷体" w:hAnsi="楷体" w:eastAsia="楷体" w:cs="楷体"/>
          <w:kern w:val="2"/>
          <w:sz w:val="32"/>
          <w:szCs w:val="32"/>
          <w:lang w:val="en-US" w:eastAsia="zh-CN" w:bidi="ar"/>
        </w:rPr>
      </w:pPr>
      <w:r>
        <w:rPr>
          <w:rFonts w:hint="eastAsia" w:ascii="楷体" w:hAnsi="楷体" w:eastAsia="楷体" w:cs="楷体"/>
          <w:kern w:val="2"/>
          <w:sz w:val="32"/>
          <w:szCs w:val="32"/>
          <w:lang w:val="en-US" w:eastAsia="zh-CN" w:bidi="ar"/>
        </w:rPr>
        <w:t>（一）存在的主要问题</w:t>
      </w:r>
    </w:p>
    <w:p w14:paraId="4AE12B03">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支出绩效评价职责不清，工作力量安排不到位。大部分都是财务人员独自完成项目的绩效申报、自评。财务上缺少业务股室的协调配合，把本该有业务部门承担的绩效工作接了过来，简单地将绩效目标制定、跟踪监控等专业性工作归口于财务人员，没有专人承担绩效管理职责，业务管理与绩效管理脱节，弱化了实施预算绩效管理的最基本的环节。</w:t>
      </w:r>
    </w:p>
    <w:p w14:paraId="401B631C">
      <w:pPr>
        <w:keepNext w:val="0"/>
        <w:keepLines w:val="0"/>
        <w:widowControl w:val="0"/>
        <w:suppressLineNumbers w:val="0"/>
        <w:spacing w:before="0" w:beforeAutospacing="0" w:after="0" w:afterAutospacing="0" w:line="560" w:lineRule="exact"/>
        <w:ind w:left="0" w:right="0" w:firstLine="640" w:firstLineChars="200"/>
        <w:jc w:val="both"/>
        <w:rPr>
          <w:rFonts w:hint="eastAsia" w:ascii="楷体" w:hAnsi="楷体" w:eastAsia="楷体" w:cs="楷体"/>
          <w:kern w:val="2"/>
          <w:sz w:val="32"/>
          <w:szCs w:val="32"/>
          <w:lang w:val="en-US" w:eastAsia="zh-CN" w:bidi="ar"/>
        </w:rPr>
      </w:pPr>
      <w:r>
        <w:rPr>
          <w:rFonts w:hint="eastAsia" w:ascii="楷体" w:hAnsi="楷体" w:eastAsia="楷体" w:cs="楷体"/>
          <w:kern w:val="2"/>
          <w:sz w:val="32"/>
          <w:szCs w:val="32"/>
          <w:lang w:val="en-US" w:eastAsia="zh-CN" w:bidi="ar"/>
        </w:rPr>
        <w:t>（二）针对问题提出具体的改进措施或建议</w:t>
      </w:r>
    </w:p>
    <w:p w14:paraId="653628D5">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rPr>
      </w:pPr>
      <w:r>
        <w:rPr>
          <w:rFonts w:hint="eastAsia" w:ascii="宋体" w:hAnsi="宋体" w:eastAsia="宋体" w:cs="宋体"/>
          <w:kern w:val="2"/>
          <w:sz w:val="30"/>
          <w:szCs w:val="30"/>
          <w:lang w:val="en-US" w:eastAsia="zh-CN" w:bidi="ar"/>
        </w:rPr>
        <w:t xml:space="preserve">    </w:t>
      </w:r>
      <w:r>
        <w:rPr>
          <w:rFonts w:hint="eastAsia" w:ascii="仿宋" w:hAnsi="仿宋" w:eastAsia="仿宋" w:cs="仿宋"/>
          <w:kern w:val="2"/>
          <w:sz w:val="32"/>
          <w:szCs w:val="32"/>
          <w:lang w:val="en-US" w:eastAsia="zh-CN" w:bidi="ar"/>
        </w:rPr>
        <w:t>一是认真梳理研究专项项目在年度内预期达到的产出和效果，制定科学、合理的项目支出总目标，指标值进一步细化、量化，可量化的用数值描述，不可量化的以定性描述；</w:t>
      </w:r>
    </w:p>
    <w:p w14:paraId="650A6CD5">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rPr>
      </w:pPr>
      <w:r>
        <w:rPr>
          <w:rFonts w:hint="eastAsia" w:ascii="仿宋" w:hAnsi="仿宋" w:eastAsia="仿宋" w:cs="仿宋"/>
          <w:kern w:val="2"/>
          <w:sz w:val="32"/>
          <w:szCs w:val="32"/>
          <w:lang w:val="en-US" w:eastAsia="zh-CN" w:bidi="ar"/>
        </w:rPr>
        <w:t xml:space="preserve">    二是积极探索改进绩效评估方法，拓展评价模式，加强评价范围的深度和广度；</w:t>
      </w:r>
    </w:p>
    <w:p w14:paraId="6C39AF52">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rPr>
      </w:pPr>
      <w:r>
        <w:rPr>
          <w:rFonts w:hint="eastAsia" w:ascii="仿宋" w:hAnsi="仿宋" w:eastAsia="仿宋" w:cs="仿宋"/>
          <w:kern w:val="2"/>
          <w:sz w:val="32"/>
          <w:szCs w:val="32"/>
          <w:lang w:val="en-US" w:eastAsia="zh-CN" w:bidi="ar"/>
        </w:rPr>
        <w:t xml:space="preserve">    三是继续建立健全绩效管理制度，制定出台《新华区统计局预算绩效运行监控管理办法》，强化绩效监控措施；</w:t>
      </w:r>
    </w:p>
    <w:p w14:paraId="33EA29F8">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rPr>
      </w:pPr>
      <w:r>
        <w:rPr>
          <w:rFonts w:hint="eastAsia" w:ascii="仿宋" w:hAnsi="仿宋" w:eastAsia="仿宋" w:cs="仿宋"/>
          <w:kern w:val="2"/>
          <w:sz w:val="32"/>
          <w:szCs w:val="32"/>
          <w:lang w:val="en-US" w:eastAsia="zh-CN" w:bidi="ar"/>
        </w:rPr>
        <w:t xml:space="preserve">     四是加大绩效评价工作推进力度，重视绩效评价结果应用，加强宣传，营造“讲绩效、重绩效、用绩效”的良好舆论氛围，增强绩效管理理念，将项目绩效评价纳入的常态工作来抓，早安排、早落实。</w:t>
      </w:r>
    </w:p>
    <w:p w14:paraId="1048B700">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outlineLvl w:val="9"/>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 xml:space="preserve">    五是加强绩效评价人员的培训，强化绩效评价人员业务知识，提高绩效评价工作质量。</w:t>
      </w:r>
    </w:p>
    <w:p w14:paraId="486FF640">
      <w:pPr>
        <w:keepNext w:val="0"/>
        <w:keepLines w:val="0"/>
        <w:widowControl w:val="0"/>
        <w:numPr>
          <w:ilvl w:val="0"/>
          <w:numId w:val="4"/>
        </w:numPr>
        <w:suppressLineNumbers w:val="0"/>
        <w:adjustRightInd w:val="0"/>
        <w:snapToGrid w:val="0"/>
        <w:spacing w:before="0" w:beforeAutospacing="0" w:after="0" w:afterAutospacing="0" w:line="560" w:lineRule="exact"/>
        <w:ind w:left="0" w:right="0" w:firstLine="640" w:firstLineChars="200"/>
        <w:jc w:val="both"/>
        <w:rPr>
          <w:rFonts w:hint="eastAsia" w:ascii="黑体" w:hAnsi="宋体" w:eastAsia="黑体" w:cs="黑体"/>
          <w:kern w:val="2"/>
          <w:sz w:val="32"/>
          <w:szCs w:val="32"/>
          <w:lang w:val="en-US" w:eastAsia="zh-CN" w:bidi="ar"/>
        </w:rPr>
      </w:pPr>
      <w:r>
        <w:rPr>
          <w:rFonts w:hint="eastAsia" w:ascii="黑体" w:hAnsi="宋体" w:eastAsia="黑体" w:cs="黑体"/>
          <w:kern w:val="2"/>
          <w:sz w:val="32"/>
          <w:szCs w:val="32"/>
          <w:lang w:val="en-US" w:eastAsia="zh-CN" w:bidi="ar"/>
        </w:rPr>
        <w:t>评价工作组人员名单及签字（姓名、工作单位、职务、职称）</w:t>
      </w:r>
    </w:p>
    <w:p w14:paraId="32838804">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02" w:firstLineChars="0"/>
        <w:jc w:val="both"/>
        <w:textAlignment w:val="auto"/>
        <w:outlineLvl w:val="9"/>
        <w:rPr>
          <w:rFonts w:hint="eastAsia" w:ascii="仿宋" w:hAnsi="仿宋" w:eastAsia="仿宋" w:cs="仿宋"/>
          <w:b w:val="0"/>
          <w:kern w:val="2"/>
          <w:sz w:val="32"/>
          <w:szCs w:val="32"/>
        </w:rPr>
      </w:pPr>
      <w:r>
        <w:rPr>
          <w:rFonts w:hint="eastAsia" w:ascii="仿宋" w:hAnsi="仿宋" w:eastAsia="仿宋" w:cs="仿宋"/>
          <w:b w:val="0"/>
          <w:kern w:val="2"/>
          <w:sz w:val="32"/>
          <w:szCs w:val="32"/>
          <w:lang w:val="en-US" w:eastAsia="zh-CN" w:bidi="ar"/>
        </w:rPr>
        <w:t>新华区部门预算绩效评价小组名单：</w:t>
      </w:r>
    </w:p>
    <w:p w14:paraId="4B7C5CF4">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02" w:firstLineChars="0"/>
        <w:jc w:val="both"/>
        <w:textAlignment w:val="auto"/>
        <w:outlineLvl w:val="9"/>
        <w:rPr>
          <w:rFonts w:hint="eastAsia" w:ascii="仿宋" w:hAnsi="仿宋" w:eastAsia="仿宋" w:cs="仿宋"/>
          <w:b w:val="0"/>
          <w:kern w:val="2"/>
          <w:sz w:val="32"/>
          <w:szCs w:val="32"/>
        </w:rPr>
      </w:pPr>
      <w:r>
        <w:rPr>
          <w:rFonts w:hint="eastAsia" w:ascii="仿宋" w:hAnsi="仿宋" w:eastAsia="仿宋" w:cs="仿宋"/>
          <w:b w:val="0"/>
          <w:kern w:val="2"/>
          <w:sz w:val="32"/>
          <w:szCs w:val="32"/>
          <w:lang w:val="en-US" w:eastAsia="zh-CN" w:bidi="ar"/>
        </w:rPr>
        <w:t>组  长：赵冉微</w:t>
      </w:r>
    </w:p>
    <w:p w14:paraId="3134F7FF">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02" w:firstLineChars="0"/>
        <w:jc w:val="both"/>
        <w:textAlignment w:val="auto"/>
        <w:outlineLvl w:val="9"/>
        <w:rPr>
          <w:rFonts w:hint="eastAsia" w:ascii="仿宋" w:hAnsi="仿宋" w:eastAsia="仿宋" w:cs="仿宋"/>
          <w:b w:val="0"/>
          <w:kern w:val="2"/>
          <w:sz w:val="32"/>
          <w:szCs w:val="32"/>
        </w:rPr>
      </w:pPr>
      <w:r>
        <w:rPr>
          <w:rFonts w:hint="eastAsia" w:ascii="仿宋" w:hAnsi="仿宋" w:eastAsia="仿宋" w:cs="仿宋"/>
          <w:b w:val="0"/>
          <w:kern w:val="2"/>
          <w:sz w:val="32"/>
          <w:szCs w:val="32"/>
          <w:lang w:val="en-US" w:eastAsia="zh-CN" w:bidi="ar"/>
        </w:rPr>
        <w:t>副组长：米  宁  王庆利</w:t>
      </w:r>
    </w:p>
    <w:p w14:paraId="15BAE897">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02" w:firstLineChars="0"/>
        <w:jc w:val="both"/>
        <w:textAlignment w:val="auto"/>
        <w:outlineLvl w:val="9"/>
        <w:rPr>
          <w:rFonts w:hint="eastAsia" w:ascii="仿宋" w:hAnsi="仿宋" w:eastAsia="仿宋" w:cs="仿宋"/>
          <w:b w:val="0"/>
          <w:kern w:val="2"/>
          <w:sz w:val="32"/>
          <w:szCs w:val="32"/>
          <w:lang w:val="en-US" w:eastAsia="zh-CN" w:bidi="ar"/>
        </w:rPr>
      </w:pPr>
      <w:r>
        <w:rPr>
          <w:rFonts w:hint="eastAsia" w:ascii="仿宋" w:hAnsi="仿宋" w:eastAsia="仿宋" w:cs="仿宋"/>
          <w:b w:val="0"/>
          <w:kern w:val="2"/>
          <w:sz w:val="32"/>
          <w:szCs w:val="32"/>
          <w:lang w:val="en-US" w:eastAsia="zh-CN" w:bidi="ar"/>
        </w:rPr>
        <w:t xml:space="preserve">成  员：李晓宇  牛玉朝 </w:t>
      </w:r>
    </w:p>
    <w:p w14:paraId="5D21A023">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02" w:firstLineChars="0"/>
        <w:jc w:val="both"/>
        <w:textAlignment w:val="auto"/>
        <w:outlineLvl w:val="9"/>
        <w:rPr>
          <w:rFonts w:hint="eastAsia" w:ascii="仿宋" w:hAnsi="仿宋" w:eastAsia="仿宋" w:cs="仿宋"/>
          <w:b w:val="0"/>
          <w:kern w:val="2"/>
          <w:sz w:val="32"/>
          <w:szCs w:val="32"/>
          <w:lang w:val="en-US" w:eastAsia="zh-CN" w:bidi="ar"/>
        </w:rPr>
      </w:pPr>
      <w:r>
        <w:rPr>
          <w:rFonts w:hint="eastAsia" w:ascii="仿宋" w:hAnsi="仿宋" w:eastAsia="仿宋" w:cs="仿宋"/>
          <w:b w:val="0"/>
          <w:kern w:val="2"/>
          <w:sz w:val="32"/>
          <w:szCs w:val="32"/>
          <w:lang w:val="en-US" w:eastAsia="zh-CN" w:bidi="ar"/>
        </w:rPr>
        <w:t xml:space="preserve">                           石家庄市新华区统计局 </w:t>
      </w:r>
    </w:p>
    <w:p w14:paraId="166ABE63">
      <w:pPr>
        <w:keepNext w:val="0"/>
        <w:keepLines w:val="0"/>
        <w:pageBreakBefore w:val="0"/>
        <w:widowControl w:val="0"/>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02" w:firstLineChars="0"/>
        <w:jc w:val="both"/>
        <w:textAlignment w:val="auto"/>
        <w:outlineLvl w:val="9"/>
        <w:rPr>
          <w:rFonts w:hint="eastAsia" w:ascii="黑体" w:hAnsi="宋体" w:eastAsia="黑体" w:cs="黑体"/>
          <w:kern w:val="2"/>
          <w:sz w:val="32"/>
          <w:szCs w:val="32"/>
          <w:lang w:val="en-US" w:eastAsia="zh-CN" w:bidi="ar"/>
        </w:rPr>
      </w:pPr>
      <w:r>
        <w:rPr>
          <w:rFonts w:hint="eastAsia" w:ascii="仿宋" w:hAnsi="仿宋" w:eastAsia="仿宋" w:cs="仿宋"/>
          <w:b w:val="0"/>
          <w:kern w:val="2"/>
          <w:sz w:val="32"/>
          <w:szCs w:val="32"/>
          <w:lang w:val="en-US" w:eastAsia="zh-CN" w:bidi="ar"/>
        </w:rPr>
        <w:t xml:space="preserve">                                2026年5月21日</w:t>
      </w:r>
    </w:p>
    <w:p w14:paraId="3AE9DA6D">
      <w:pPr>
        <w:jc w:val="left"/>
        <w:rPr>
          <w:rFonts w:hint="eastAsia" w:asciiTheme="majorEastAsia" w:hAnsiTheme="majorEastAsia" w:eastAsiaTheme="majorEastAsia" w:cstheme="majorEastAsia"/>
          <w:sz w:val="30"/>
          <w:szCs w:val="30"/>
        </w:rPr>
      </w:pPr>
    </w:p>
    <w:p w14:paraId="3A22D425"/>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89347">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69010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B69010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40FC43"/>
    <w:multiLevelType w:val="multilevel"/>
    <w:tmpl w:val="6440FC43"/>
    <w:lvl w:ilvl="0" w:tentative="0">
      <w:start w:val="2"/>
      <w:numFmt w:val="chineseCounting"/>
      <w:suff w:val="nothing"/>
      <w:lvlText w:val="（%1）"/>
      <w:lvlJc w:val="left"/>
      <w:pPr>
        <w:ind w:left="642" w:firstLine="0"/>
      </w:pPr>
      <w:rPr>
        <w:rFonts w:hint="eastAsia" w:ascii="宋体" w:hAnsi="宋体" w:eastAsia="宋体" w:cs="宋体"/>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
    <w:nsid w:val="6440FC4E"/>
    <w:multiLevelType w:val="multilevel"/>
    <w:tmpl w:val="6440FC4E"/>
    <w:lvl w:ilvl="0" w:tentative="0">
      <w:start w:val="1"/>
      <w:numFmt w:val="chineseCounting"/>
      <w:suff w:val="nothing"/>
      <w:lvlText w:val="（%1）"/>
      <w:lvlJc w:val="left"/>
      <w:pPr>
        <w:ind w:left="0" w:firstLine="0"/>
      </w:pPr>
      <w:rPr>
        <w:rFonts w:hint="eastAsia" w:ascii="楷体" w:hAnsi="楷体" w:eastAsia="楷体" w:cs="楷体"/>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
    <w:nsid w:val="644101A5"/>
    <w:multiLevelType w:val="singleLevel"/>
    <w:tmpl w:val="644101A5"/>
    <w:lvl w:ilvl="0" w:tentative="0">
      <w:start w:val="2"/>
      <w:numFmt w:val="chineseCounting"/>
      <w:suff w:val="nothing"/>
      <w:lvlText w:val="（%1）"/>
      <w:lvlJc w:val="left"/>
    </w:lvl>
  </w:abstractNum>
  <w:abstractNum w:abstractNumId="3">
    <w:nsid w:val="64420654"/>
    <w:multiLevelType w:val="singleLevel"/>
    <w:tmpl w:val="64420654"/>
    <w:lvl w:ilvl="0" w:tentative="0">
      <w:start w:val="6"/>
      <w:numFmt w:val="chineseCounting"/>
      <w:suff w:val="nothing"/>
      <w:lvlText w:val="%1、"/>
      <w:lvlJc w:val="left"/>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4AC1880"/>
    <w:rsid w:val="07956271"/>
    <w:rsid w:val="09721397"/>
    <w:rsid w:val="0BB63BED"/>
    <w:rsid w:val="0EB97A43"/>
    <w:rsid w:val="0EBD2122"/>
    <w:rsid w:val="0F214EAE"/>
    <w:rsid w:val="11B71E6A"/>
    <w:rsid w:val="1AAF0063"/>
    <w:rsid w:val="1BE140DE"/>
    <w:rsid w:val="1E542E40"/>
    <w:rsid w:val="248C197D"/>
    <w:rsid w:val="24F97CDE"/>
    <w:rsid w:val="252959AF"/>
    <w:rsid w:val="277A6671"/>
    <w:rsid w:val="292D35B7"/>
    <w:rsid w:val="30F44384"/>
    <w:rsid w:val="315B4F78"/>
    <w:rsid w:val="33EB6CFF"/>
    <w:rsid w:val="35A12947"/>
    <w:rsid w:val="37387040"/>
    <w:rsid w:val="3B625C0A"/>
    <w:rsid w:val="3C6126AC"/>
    <w:rsid w:val="3CEE1963"/>
    <w:rsid w:val="4138786E"/>
    <w:rsid w:val="436B78D3"/>
    <w:rsid w:val="444034D4"/>
    <w:rsid w:val="44536C24"/>
    <w:rsid w:val="4C9C27FE"/>
    <w:rsid w:val="4F0022F6"/>
    <w:rsid w:val="512260B4"/>
    <w:rsid w:val="52BD6ACB"/>
    <w:rsid w:val="55537534"/>
    <w:rsid w:val="561A74F1"/>
    <w:rsid w:val="58B17416"/>
    <w:rsid w:val="597244E8"/>
    <w:rsid w:val="5A4938B4"/>
    <w:rsid w:val="5CFB24DE"/>
    <w:rsid w:val="5EB71C30"/>
    <w:rsid w:val="64F30B9F"/>
    <w:rsid w:val="66AF0CE5"/>
    <w:rsid w:val="68AC2130"/>
    <w:rsid w:val="6AC537CF"/>
    <w:rsid w:val="6E5B14A6"/>
    <w:rsid w:val="711B255E"/>
    <w:rsid w:val="79DF1670"/>
    <w:rsid w:val="7BB51E06"/>
    <w:rsid w:val="7C387F7C"/>
    <w:rsid w:val="7D646D6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5244</Words>
  <Characters>5370</Characters>
  <Lines>4</Lines>
  <Paragraphs>1</Paragraphs>
  <TotalTime>46</TotalTime>
  <ScaleCrop>false</ScaleCrop>
  <LinksUpToDate>false</LinksUpToDate>
  <CharactersWithSpaces>5509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xinkule</cp:lastModifiedBy>
  <cp:lastPrinted>2024-03-06T07:40:00Z</cp:lastPrinted>
  <dcterms:modified xsi:type="dcterms:W3CDTF">2026-06-09T08:22:00Z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467F531300C74E1790CB64642E546B40_13</vt:lpwstr>
  </property>
  <property fmtid="{D5CDD505-2E9C-101B-9397-08002B2CF9AE}" pid="4" name="KSOTemplateDocerSaveRecord">
    <vt:lpwstr>eyJoZGlkIjoiYzU4NjZhMzhjNDliNTMxNjA1MWM1OTIwODMwYWQzYTMiLCJ1c2VySWQiOiI3NjI2NzUwMjIifQ==</vt:lpwstr>
  </property>
</Properties>
</file>