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676856">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13921FED">
      <w:pPr>
        <w:spacing w:line="560" w:lineRule="exact"/>
        <w:jc w:val="center"/>
        <w:rPr>
          <w:rFonts w:ascii="宋体" w:hAnsi="宋体" w:cs="宋体"/>
          <w:b/>
          <w:bCs/>
          <w:sz w:val="44"/>
          <w:szCs w:val="44"/>
        </w:rPr>
      </w:pPr>
    </w:p>
    <w:p w14:paraId="4039A981">
      <w:pPr>
        <w:spacing w:line="560" w:lineRule="exact"/>
        <w:jc w:val="center"/>
        <w:rPr>
          <w:rFonts w:ascii="宋体" w:hAnsi="宋体" w:cs="宋体"/>
          <w:b/>
          <w:bCs/>
          <w:sz w:val="44"/>
          <w:szCs w:val="44"/>
        </w:rPr>
      </w:pPr>
      <w:r>
        <w:rPr>
          <w:rFonts w:hint="eastAsia" w:ascii="宋体" w:hAnsi="宋体" w:cs="宋体"/>
          <w:b/>
          <w:bCs/>
          <w:sz w:val="44"/>
          <w:szCs w:val="44"/>
          <w:lang w:val="en-US" w:eastAsia="zh-CN"/>
        </w:rPr>
        <w:t>新华区信访局</w:t>
      </w:r>
      <w:r>
        <w:rPr>
          <w:rFonts w:hint="eastAsia" w:ascii="宋体" w:hAnsi="宋体" w:cs="宋体"/>
          <w:b/>
          <w:bCs/>
          <w:sz w:val="44"/>
          <w:szCs w:val="44"/>
        </w:rPr>
        <w:t>部门</w:t>
      </w:r>
    </w:p>
    <w:p w14:paraId="686E0DA2">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3DE27339">
      <w:pPr>
        <w:spacing w:line="560" w:lineRule="exact"/>
        <w:jc w:val="center"/>
        <w:rPr>
          <w:rFonts w:ascii="华文楷体" w:eastAsia="华文楷体"/>
          <w:sz w:val="32"/>
          <w:szCs w:val="32"/>
        </w:rPr>
      </w:pPr>
    </w:p>
    <w:p w14:paraId="0309EC6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val="en-US" w:eastAsia="zh-CN"/>
        </w:rPr>
        <w:t>信访局</w:t>
      </w:r>
      <w:r>
        <w:rPr>
          <w:rFonts w:hint="eastAsia" w:ascii="仿宋" w:hAnsi="仿宋" w:eastAsia="仿宋"/>
          <w:sz w:val="32"/>
          <w:szCs w:val="32"/>
        </w:rPr>
        <w:t>部门2025年整体支出情况实施了财政支出绩效自评价，形成本评价报告。</w:t>
      </w:r>
    </w:p>
    <w:p w14:paraId="24DD1040">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810BDB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52F261F0">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部门职能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kern w:val="2"/>
          <w:sz w:val="32"/>
          <w:szCs w:val="32"/>
          <w:lang w:val="en-US" w:eastAsia="zh-CN" w:bidi="ar-SA"/>
        </w:rPr>
        <w:t>新华区信访局由区委办公室、政府办公室管理，以区委办公室管理为主，内部机构设置为接待室和案件督查室。</w:t>
      </w:r>
    </w:p>
    <w:p w14:paraId="270DE460">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（一）宣传贯彻党的路线方针、政策和《信访条例》 ，依法规范信访秩序，保障信访人的正当民主权利。</w:t>
      </w:r>
    </w:p>
    <w:p w14:paraId="5D6812C4">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（二）负责本区群众来信来访工作。</w:t>
      </w:r>
    </w:p>
    <w:p w14:paraId="73D83D8A">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（三）按照“分级负责、归口办理”的原则，会同有关单位和单位处理信访案件，并负责监督和检查。</w:t>
      </w:r>
    </w:p>
    <w:p w14:paraId="413299E4">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（四）协助区领导协调、办理信访案件。查出重要信访案件，督导各街区、区直单位信访工作，协调处理涉及多个单位的信访工作案件。</w:t>
      </w:r>
    </w:p>
    <w:p w14:paraId="2A0E60AA">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（五）协调处理关系政治稳定和社会安定的信访案件，化解涉及群体利益的矛盾纠纷。</w:t>
      </w:r>
    </w:p>
    <w:p w14:paraId="53BAE71A">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（六）调查研究和综合分析全区信访形势及信访工作状况，排查重要苗头隐患，超前开展工作，掌握信访动态，及时向区委、区政府反馈重要信息。</w:t>
      </w:r>
    </w:p>
    <w:p w14:paraId="05C9E6B3">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（七）指导全区基层基础信访工作的规范化管理和队伍建设。</w:t>
      </w:r>
    </w:p>
    <w:p w14:paraId="7F2BD7BA">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（八）负责区领导信访接待日的协调安排，区领导签署的信访处理意见的督促和落实。</w:t>
      </w:r>
    </w:p>
    <w:p w14:paraId="4352DCFB">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（九）负责信访法律联合咨询服务，指导协调各街道和区直单位信访法律咨询服务工作。</w:t>
      </w:r>
    </w:p>
    <w:p w14:paraId="5B3F3125">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（十）负责人民群众建设征集工作。</w:t>
      </w:r>
    </w:p>
    <w:p w14:paraId="78290866">
      <w:pPr>
        <w:spacing w:line="500" w:lineRule="exact"/>
        <w:ind w:firstLine="640" w:firstLineChars="200"/>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（十一）完成区委、区政府交办的其他工作</w:t>
      </w:r>
    </w:p>
    <w:p w14:paraId="05F0DE87">
      <w:pPr>
        <w:spacing w:line="50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组织机构</w:t>
      </w:r>
      <w:r>
        <w:rPr>
          <w:rFonts w:hint="eastAsia" w:ascii="仿宋_GB2312" w:hAnsi="仿宋_GB2312" w:eastAsia="仿宋_GB2312" w:cs="仿宋_GB2312"/>
          <w:sz w:val="32"/>
          <w:szCs w:val="32"/>
          <w:lang w:val="en-US" w:eastAsia="zh-CN"/>
        </w:rPr>
        <w:t>情况：我部门设有独立核算行政</w:t>
      </w:r>
      <w:bookmarkStart w:id="0" w:name="_GoBack"/>
      <w:bookmarkEnd w:id="0"/>
      <w:r>
        <w:rPr>
          <w:rFonts w:hint="eastAsia" w:ascii="仿宋_GB2312" w:hAnsi="仿宋_GB2312" w:eastAsia="仿宋_GB2312" w:cs="仿宋_GB2312"/>
          <w:sz w:val="32"/>
          <w:szCs w:val="32"/>
          <w:lang w:val="en-US" w:eastAsia="zh-CN"/>
        </w:rPr>
        <w:t>单位1个。</w:t>
      </w:r>
    </w:p>
    <w:p w14:paraId="2FFBF09D">
      <w:pPr>
        <w:adjustRightInd w:val="0"/>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人员</w:t>
      </w:r>
      <w:r>
        <w:rPr>
          <w:rFonts w:hint="eastAsia" w:ascii="仿宋_GB2312" w:hAnsi="仿宋_GB2312" w:eastAsia="仿宋_GB2312" w:cs="仿宋_GB2312"/>
          <w:sz w:val="32"/>
          <w:szCs w:val="32"/>
          <w:lang w:val="en-US" w:eastAsia="zh-CN"/>
        </w:rPr>
        <w:t>情况：2025年年末我部门在职</w:t>
      </w:r>
      <w:r>
        <w:rPr>
          <w:rFonts w:hint="eastAsia" w:ascii="仿宋_GB2312" w:hAnsi="仿宋_GB2312" w:eastAsia="仿宋_GB2312" w:cs="仿宋_GB2312"/>
          <w:sz w:val="32"/>
          <w:szCs w:val="32"/>
        </w:rPr>
        <w:t>人员</w:t>
      </w:r>
      <w:r>
        <w:rPr>
          <w:rFonts w:hint="eastAsia" w:ascii="仿宋_GB2312" w:hAnsi="仿宋_GB2312" w:eastAsia="仿宋_GB2312" w:cs="仿宋_GB2312"/>
          <w:sz w:val="32"/>
          <w:szCs w:val="32"/>
          <w:lang w:val="en-US" w:eastAsia="zh-CN"/>
        </w:rPr>
        <w:t>10人。</w:t>
      </w:r>
    </w:p>
    <w:p w14:paraId="6408C020">
      <w:pPr>
        <w:adjustRightInd w:val="0"/>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4、资产情况：2025年末固定资产原值总13.56万元</w:t>
      </w:r>
      <w:r>
        <w:rPr>
          <w:rFonts w:hint="eastAsia" w:ascii="仿宋_GB2312" w:hAnsi="仿宋_GB2312" w:eastAsia="仿宋_GB2312" w:cs="仿宋_GB2312"/>
          <w:color w:val="auto"/>
          <w:sz w:val="32"/>
          <w:szCs w:val="32"/>
        </w:rPr>
        <w:t>。</w:t>
      </w:r>
    </w:p>
    <w:p w14:paraId="777D2095">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399D9A49">
      <w:p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_GB2312" w:hAnsi="华文仿宋" w:eastAsia="仿宋_GB2312"/>
          <w:color w:val="auto"/>
          <w:sz w:val="32"/>
          <w:szCs w:val="32"/>
        </w:rPr>
        <w:t>202</w:t>
      </w:r>
      <w:r>
        <w:rPr>
          <w:rFonts w:hint="eastAsia" w:ascii="仿宋_GB2312" w:hAnsi="华文仿宋" w:eastAsia="仿宋_GB2312"/>
          <w:color w:val="auto"/>
          <w:sz w:val="32"/>
          <w:szCs w:val="32"/>
          <w:lang w:val="en-US" w:eastAsia="zh-CN"/>
        </w:rPr>
        <w:t>5</w:t>
      </w:r>
      <w:r>
        <w:rPr>
          <w:rFonts w:hint="eastAsia" w:ascii="仿宋_GB2312" w:hAnsi="华文仿宋" w:eastAsia="仿宋_GB2312"/>
          <w:color w:val="auto"/>
          <w:sz w:val="32"/>
          <w:szCs w:val="32"/>
        </w:rPr>
        <w:t>年度我</w:t>
      </w:r>
      <w:r>
        <w:rPr>
          <w:rFonts w:hint="eastAsia" w:ascii="仿宋_GB2312" w:hAnsi="华文仿宋" w:eastAsia="仿宋_GB2312"/>
          <w:color w:val="auto"/>
          <w:sz w:val="32"/>
          <w:szCs w:val="32"/>
          <w:lang w:val="en-US" w:eastAsia="zh-CN"/>
        </w:rPr>
        <w:t>部门</w:t>
      </w:r>
      <w:r>
        <w:rPr>
          <w:rFonts w:hint="eastAsia" w:ascii="仿宋_GB2312" w:hAnsi="华文仿宋" w:eastAsia="仿宋_GB2312"/>
          <w:color w:val="auto"/>
          <w:sz w:val="32"/>
          <w:szCs w:val="32"/>
        </w:rPr>
        <w:t>总项目预算金额为</w:t>
      </w:r>
      <w:r>
        <w:rPr>
          <w:rFonts w:hint="eastAsia" w:ascii="仿宋_GB2312" w:hAnsi="华文仿宋" w:eastAsia="仿宋_GB2312"/>
          <w:color w:val="auto"/>
          <w:sz w:val="32"/>
          <w:szCs w:val="32"/>
          <w:lang w:val="en-US" w:eastAsia="zh-CN"/>
        </w:rPr>
        <w:t>323.44</w:t>
      </w:r>
      <w:r>
        <w:rPr>
          <w:rFonts w:hint="eastAsia" w:ascii="仿宋_GB2312" w:hAnsi="华文仿宋" w:eastAsia="仿宋_GB2312"/>
          <w:color w:val="auto"/>
          <w:sz w:val="32"/>
          <w:szCs w:val="32"/>
        </w:rPr>
        <w:t>万元，总项目预算执行金额为</w:t>
      </w:r>
      <w:r>
        <w:rPr>
          <w:rFonts w:hint="eastAsia" w:ascii="仿宋_GB2312" w:hAnsi="华文仿宋" w:eastAsia="仿宋_GB2312"/>
          <w:color w:val="auto"/>
          <w:sz w:val="32"/>
          <w:szCs w:val="32"/>
          <w:lang w:val="en-US" w:eastAsia="zh-CN"/>
        </w:rPr>
        <w:t>457.21</w:t>
      </w:r>
      <w:r>
        <w:rPr>
          <w:rFonts w:hint="eastAsia" w:ascii="仿宋_GB2312" w:hAnsi="华文仿宋" w:eastAsia="仿宋_GB2312"/>
          <w:color w:val="auto"/>
          <w:sz w:val="32"/>
          <w:szCs w:val="32"/>
        </w:rPr>
        <w:t>万元。</w:t>
      </w:r>
    </w:p>
    <w:p w14:paraId="298E4EF7">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854E373">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参照部门预算绩效文本中绩效目标、指标。</w:t>
      </w:r>
      <w:r>
        <w:rPr>
          <w:rFonts w:hint="eastAsia" w:ascii="仿宋_GB2312" w:hAnsi="仿宋_GB2312" w:eastAsia="仿宋_GB2312" w:cs="仿宋_GB2312"/>
          <w:sz w:val="32"/>
          <w:szCs w:val="32"/>
          <w:lang w:val="en-US" w:eastAsia="zh-CN"/>
        </w:rPr>
        <w:t>2025年我部门全员将继续立足本职岗位、落实责任分工、求真务实，做好信访领域工作，全面完成各项工作任务和指标；提高经办管理服务能力，加强经办管理服务体系建设，开展优质便民服务；严控“三公经费”和重点费用开支，在往年支出基础上不增长；严格执行国家财务制度和财经纪律，加强资金使用监管，确保资金安全。</w:t>
      </w:r>
    </w:p>
    <w:p w14:paraId="34EDBB8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1B9771E">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F0096C9">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rPr>
        <w:t>我</w:t>
      </w:r>
      <w:r>
        <w:rPr>
          <w:rFonts w:hint="eastAsia" w:ascii="仿宋_GB2312" w:hAnsi="仿宋_GB2312" w:eastAsia="仿宋_GB2312" w:cs="仿宋_GB2312"/>
          <w:kern w:val="2"/>
          <w:sz w:val="32"/>
          <w:szCs w:val="32"/>
          <w:lang w:val="en-US" w:eastAsia="zh-CN"/>
        </w:rPr>
        <w:t>部门</w:t>
      </w:r>
      <w:r>
        <w:rPr>
          <w:rFonts w:hint="eastAsia" w:ascii="仿宋_GB2312" w:hAnsi="仿宋_GB2312" w:eastAsia="仿宋_GB2312" w:cs="仿宋_GB2312"/>
          <w:kern w:val="2"/>
          <w:sz w:val="32"/>
          <w:szCs w:val="32"/>
        </w:rPr>
        <w:t>对202</w:t>
      </w:r>
      <w:r>
        <w:rPr>
          <w:rFonts w:hint="eastAsia" w:ascii="仿宋_GB2312" w:hAnsi="仿宋_GB2312" w:eastAsia="仿宋_GB2312" w:cs="仿宋_GB2312"/>
          <w:kern w:val="2"/>
          <w:sz w:val="32"/>
          <w:szCs w:val="32"/>
          <w:lang w:val="en-US" w:eastAsia="zh-CN"/>
        </w:rPr>
        <w:t>5</w:t>
      </w:r>
      <w:r>
        <w:rPr>
          <w:rFonts w:hint="eastAsia" w:ascii="仿宋_GB2312" w:hAnsi="仿宋_GB2312" w:eastAsia="仿宋_GB2312" w:cs="仿宋_GB2312"/>
          <w:kern w:val="2"/>
          <w:sz w:val="32"/>
          <w:szCs w:val="32"/>
        </w:rPr>
        <w:t>年度各项经费绩效目标自评工作高度重视。一是提高站位，充分认识搞好经费绩效自评工作的及时性、必要性和重要性，</w:t>
      </w:r>
      <w:r>
        <w:rPr>
          <w:rFonts w:hint="eastAsia" w:ascii="仿宋_GB2312" w:hAnsi="仿宋_GB2312" w:eastAsia="仿宋_GB2312" w:cs="仿宋_GB2312"/>
          <w:sz w:val="32"/>
          <w:szCs w:val="32"/>
        </w:rPr>
        <w:t>有效完善预算资金管理，绩效管理，全面发挥预算绩效指标体系管理，确保促进各项工作有力推进。</w:t>
      </w:r>
      <w:r>
        <w:rPr>
          <w:rFonts w:hint="eastAsia" w:ascii="仿宋_GB2312" w:hAnsi="仿宋_GB2312" w:eastAsia="仿宋_GB2312" w:cs="仿宋_GB2312"/>
          <w:kern w:val="2"/>
          <w:sz w:val="32"/>
          <w:szCs w:val="32"/>
        </w:rPr>
        <w:t>二是组织工作人员认真学习绩效自评的有关规定，增强绩效自评工作效率。三是对202</w:t>
      </w:r>
      <w:r>
        <w:rPr>
          <w:rFonts w:hint="eastAsia" w:ascii="仿宋_GB2312" w:hAnsi="仿宋_GB2312" w:eastAsia="仿宋_GB2312" w:cs="仿宋_GB2312"/>
          <w:kern w:val="2"/>
          <w:sz w:val="32"/>
          <w:szCs w:val="32"/>
          <w:lang w:val="en-US" w:eastAsia="zh-CN"/>
        </w:rPr>
        <w:t>5</w:t>
      </w:r>
      <w:r>
        <w:rPr>
          <w:rFonts w:hint="eastAsia" w:ascii="仿宋_GB2312" w:hAnsi="仿宋_GB2312" w:eastAsia="仿宋_GB2312" w:cs="仿宋_GB2312"/>
          <w:kern w:val="2"/>
          <w:sz w:val="32"/>
          <w:szCs w:val="32"/>
        </w:rPr>
        <w:t>年度各项经费在预算安排、资金分配拨付、日常财务管理等方面情况进行“回头看”，未发现工作经费违规现象</w:t>
      </w:r>
      <w:r>
        <w:rPr>
          <w:rFonts w:hint="eastAsia" w:ascii="仿宋_GB2312" w:hAnsi="仿宋_GB2312" w:eastAsia="仿宋_GB2312" w:cs="仿宋_GB2312"/>
          <w:sz w:val="32"/>
          <w:szCs w:val="32"/>
        </w:rPr>
        <w:t>。</w:t>
      </w:r>
    </w:p>
    <w:p w14:paraId="386F263F">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3FFDD1C">
      <w:pPr>
        <w:numPr>
          <w:ilvl w:val="0"/>
          <w:numId w:val="0"/>
        </w:numPr>
        <w:spacing w:line="560" w:lineRule="exact"/>
        <w:ind w:firstLine="640" w:firstLineChars="200"/>
        <w:rPr>
          <w:rFonts w:ascii="楷体" w:hAnsi="楷体" w:eastAsia="楷体" w:cs="楷体_GB2312"/>
          <w:bCs/>
          <w:sz w:val="32"/>
          <w:szCs w:val="32"/>
        </w:rPr>
      </w:pPr>
      <w:r>
        <w:rPr>
          <w:rFonts w:hint="eastAsia" w:ascii="仿宋_GB2312" w:hAnsi="仿宋_GB2312" w:eastAsia="仿宋_GB2312" w:cs="仿宋_GB2312"/>
          <w:sz w:val="32"/>
          <w:szCs w:val="32"/>
        </w:rPr>
        <w:t>按通知要求，我</w:t>
      </w:r>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调集</w:t>
      </w:r>
      <w:r>
        <w:rPr>
          <w:rFonts w:hint="eastAsia" w:ascii="仿宋_GB2312" w:hAnsi="仿宋_GB2312" w:eastAsia="仿宋_GB2312" w:cs="仿宋_GB2312"/>
          <w:sz w:val="32"/>
          <w:szCs w:val="32"/>
          <w:lang w:val="en-US" w:eastAsia="zh-CN"/>
        </w:rPr>
        <w:t>所属事业单位、内设科室</w:t>
      </w:r>
      <w:r>
        <w:rPr>
          <w:rFonts w:hint="eastAsia" w:ascii="仿宋_GB2312" w:hAnsi="仿宋_GB2312" w:eastAsia="仿宋_GB2312" w:cs="仿宋_GB2312"/>
          <w:sz w:val="32"/>
          <w:szCs w:val="32"/>
        </w:rPr>
        <w:t>，成立绩效评价小组，安排部署绩效工作，认真学习绩效管理评价相关文件，按财政局要求严格认真开展绩效目标自评工作。</w:t>
      </w:r>
    </w:p>
    <w:p w14:paraId="68DD2419">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8DA6660">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710DAA8">
      <w:pPr>
        <w:adjustRightInd w:val="0"/>
        <w:snapToGrid w:val="0"/>
        <w:spacing w:line="560" w:lineRule="exact"/>
        <w:ind w:firstLine="640" w:firstLineChars="200"/>
        <w:rPr>
          <w:rFonts w:ascii="仿宋" w:hAnsi="仿宋" w:eastAsia="仿宋"/>
          <w:sz w:val="32"/>
          <w:szCs w:val="32"/>
        </w:rPr>
      </w:pPr>
      <w:r>
        <w:rPr>
          <w:rFonts w:hint="eastAsia" w:ascii="仿宋_GB2312" w:hAnsi="华文仿宋" w:eastAsia="仿宋_GB2312"/>
          <w:color w:val="auto"/>
          <w:sz w:val="32"/>
          <w:szCs w:val="32"/>
        </w:rPr>
        <w:t>202</w:t>
      </w:r>
      <w:r>
        <w:rPr>
          <w:rFonts w:hint="eastAsia" w:ascii="仿宋_GB2312" w:hAnsi="华文仿宋" w:eastAsia="仿宋_GB2312"/>
          <w:color w:val="auto"/>
          <w:sz w:val="32"/>
          <w:szCs w:val="32"/>
          <w:lang w:val="en-US" w:eastAsia="zh-CN"/>
        </w:rPr>
        <w:t>5</w:t>
      </w:r>
      <w:r>
        <w:rPr>
          <w:rFonts w:hint="eastAsia" w:ascii="仿宋_GB2312" w:hAnsi="华文仿宋" w:eastAsia="仿宋_GB2312"/>
          <w:color w:val="auto"/>
          <w:sz w:val="32"/>
          <w:szCs w:val="32"/>
        </w:rPr>
        <w:t>年度我</w:t>
      </w:r>
      <w:r>
        <w:rPr>
          <w:rFonts w:hint="eastAsia" w:ascii="仿宋_GB2312" w:hAnsi="华文仿宋" w:eastAsia="仿宋_GB2312"/>
          <w:color w:val="auto"/>
          <w:sz w:val="32"/>
          <w:szCs w:val="32"/>
          <w:lang w:val="en-US" w:eastAsia="zh-CN"/>
        </w:rPr>
        <w:t>部门</w:t>
      </w:r>
      <w:r>
        <w:rPr>
          <w:rFonts w:hint="eastAsia" w:ascii="仿宋_GB2312" w:hAnsi="华文仿宋" w:eastAsia="仿宋_GB2312"/>
          <w:color w:val="auto"/>
          <w:sz w:val="32"/>
          <w:szCs w:val="32"/>
        </w:rPr>
        <w:t>总项目预算金额为</w:t>
      </w:r>
      <w:r>
        <w:rPr>
          <w:rFonts w:hint="eastAsia" w:ascii="仿宋_GB2312" w:hAnsi="华文仿宋" w:eastAsia="仿宋_GB2312"/>
          <w:color w:val="auto"/>
          <w:sz w:val="32"/>
          <w:szCs w:val="32"/>
          <w:lang w:val="en-US" w:eastAsia="zh-CN"/>
        </w:rPr>
        <w:t>323.44</w:t>
      </w:r>
      <w:r>
        <w:rPr>
          <w:rFonts w:hint="eastAsia" w:ascii="仿宋_GB2312" w:hAnsi="华文仿宋" w:eastAsia="仿宋_GB2312"/>
          <w:color w:val="auto"/>
          <w:sz w:val="32"/>
          <w:szCs w:val="32"/>
        </w:rPr>
        <w:t>万元，总项目预算执行金额为</w:t>
      </w:r>
      <w:r>
        <w:rPr>
          <w:rFonts w:hint="eastAsia" w:ascii="仿宋_GB2312" w:hAnsi="华文仿宋" w:eastAsia="仿宋_GB2312"/>
          <w:color w:val="auto"/>
          <w:sz w:val="32"/>
          <w:szCs w:val="32"/>
          <w:lang w:val="en-US" w:eastAsia="zh-CN"/>
        </w:rPr>
        <w:t>457.21</w:t>
      </w:r>
      <w:r>
        <w:rPr>
          <w:rFonts w:hint="eastAsia" w:ascii="仿宋_GB2312" w:hAnsi="华文仿宋" w:eastAsia="仿宋_GB2312"/>
          <w:color w:val="auto"/>
          <w:sz w:val="32"/>
          <w:szCs w:val="32"/>
        </w:rPr>
        <w:t>万元</w:t>
      </w:r>
      <w:r>
        <w:rPr>
          <w:rFonts w:hint="eastAsia" w:ascii="仿宋_GB2312" w:hAnsi="华文仿宋" w:eastAsia="仿宋_GB2312"/>
          <w:color w:val="auto"/>
          <w:sz w:val="32"/>
          <w:szCs w:val="32"/>
          <w:lang w:eastAsia="zh-CN"/>
        </w:rPr>
        <w:t>，</w:t>
      </w:r>
      <w:r>
        <w:rPr>
          <w:rFonts w:hint="eastAsia" w:ascii="仿宋_GB2312" w:hAnsi="华文仿宋" w:eastAsia="仿宋_GB2312"/>
          <w:color w:val="auto"/>
          <w:sz w:val="32"/>
          <w:szCs w:val="32"/>
          <w:lang w:val="en-US" w:eastAsia="zh-CN"/>
        </w:rPr>
        <w:t>完成预算执行率100%</w:t>
      </w:r>
      <w:r>
        <w:rPr>
          <w:rFonts w:hint="eastAsia" w:ascii="仿宋_GB2312" w:hAnsi="华文仿宋" w:eastAsia="仿宋_GB2312"/>
          <w:color w:val="auto"/>
          <w:sz w:val="32"/>
          <w:szCs w:val="32"/>
        </w:rPr>
        <w:t>。</w:t>
      </w:r>
    </w:p>
    <w:p w14:paraId="5A653BA9">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03ECBDC">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2025年我部门</w:t>
      </w:r>
      <w:r>
        <w:rPr>
          <w:rFonts w:hint="eastAsia" w:ascii="仿宋" w:hAnsi="仿宋" w:eastAsia="仿宋"/>
          <w:sz w:val="32"/>
          <w:szCs w:val="32"/>
        </w:rPr>
        <w:t>贯彻落实信访工作地方性法规规章全区作 绩效目标：确实发挥群众工作中心作用</w:t>
      </w:r>
      <w:r>
        <w:rPr>
          <w:rFonts w:hint="eastAsia" w:ascii="仿宋" w:hAnsi="仿宋" w:eastAsia="仿宋"/>
          <w:sz w:val="32"/>
          <w:szCs w:val="32"/>
          <w:lang w:eastAsia="zh-CN"/>
        </w:rPr>
        <w:t>，</w:t>
      </w:r>
      <w:r>
        <w:rPr>
          <w:rFonts w:hint="eastAsia" w:ascii="仿宋" w:hAnsi="仿宋" w:eastAsia="仿宋"/>
          <w:sz w:val="32"/>
          <w:szCs w:val="32"/>
        </w:rPr>
        <w:t>绩效指标：确保不发生进京访和规模性赴省集体访，确保不发生极端恶性事件，切实把信访群众吸附在当地。进一步提高信访干部业务能力；吸收可行建议，改进信访工作；提高信访信息化应用水平，实现办公自动化、网络智能化。保障机要邮件正常传递；确保相关会议正常召开 ，维护好群众工作中心正常运行。</w:t>
      </w:r>
    </w:p>
    <w:p w14:paraId="34E171D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负责驻京指挥部日常工作和全区驻京信访值班人员组织协调管理工作</w:t>
      </w:r>
      <w:r>
        <w:rPr>
          <w:rFonts w:hint="eastAsia" w:ascii="仿宋" w:hAnsi="仿宋" w:eastAsia="仿宋"/>
          <w:sz w:val="32"/>
          <w:szCs w:val="32"/>
          <w:lang w:eastAsia="zh-CN"/>
        </w:rPr>
        <w:t>，</w:t>
      </w:r>
      <w:r>
        <w:rPr>
          <w:rFonts w:hint="eastAsia" w:ascii="仿宋" w:hAnsi="仿宋" w:eastAsia="仿宋"/>
          <w:sz w:val="32"/>
          <w:szCs w:val="32"/>
        </w:rPr>
        <w:t>绩效目标：做好守护北京的最后一道防线， 实现“北京不能去”当好首都护城河的目标绩效指标：负责驻京指挥部日常工作和全区驻京信访值班人员的组织协调管理工作，负责北京重大政治活动、重要会议的特殊敏感期的驻京值班方案制定和值班工作的组织协调及保障， 负责全区各类进京访的处置劝返工作。定期进行组合分析、提出工作建议。</w:t>
      </w:r>
    </w:p>
    <w:p w14:paraId="4334173E">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负责解决疑难信访案件绩效目标：解决特殊疑难信访案件</w:t>
      </w:r>
      <w:r>
        <w:rPr>
          <w:rFonts w:hint="eastAsia" w:ascii="仿宋" w:hAnsi="仿宋" w:eastAsia="仿宋"/>
          <w:sz w:val="32"/>
          <w:szCs w:val="32"/>
          <w:lang w:eastAsia="zh-CN"/>
        </w:rPr>
        <w:t>，</w:t>
      </w: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坚持合理性原则</w:t>
      </w:r>
      <w:r>
        <w:rPr>
          <w:rFonts w:hint="eastAsia" w:ascii="仿宋" w:hAnsi="仿宋" w:eastAsia="仿宋"/>
          <w:sz w:val="32"/>
          <w:szCs w:val="32"/>
          <w:lang w:eastAsia="zh-CN"/>
        </w:rPr>
        <w:t>，</w:t>
      </w:r>
      <w:r>
        <w:rPr>
          <w:rFonts w:hint="eastAsia" w:ascii="仿宋" w:hAnsi="仿宋" w:eastAsia="仿宋"/>
          <w:sz w:val="32"/>
          <w:szCs w:val="32"/>
        </w:rPr>
        <w:t>坚持息诉罢访原则，坚持分级负责，用于解决特殊疑难信访案件，坚持专款专用不得挤占挪用。</w:t>
      </w:r>
    </w:p>
    <w:p w14:paraId="58C11C38">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124F98B">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456E64FD">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D72BF1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8C5FFFE">
      <w:pPr>
        <w:spacing w:line="560" w:lineRule="exact"/>
        <w:ind w:firstLine="640" w:firstLineChars="200"/>
        <w:rPr>
          <w:rFonts w:hint="eastAsia" w:ascii="楷体" w:hAnsi="楷体" w:eastAsia="楷体"/>
          <w:bCs/>
          <w:sz w:val="32"/>
          <w:szCs w:val="32"/>
        </w:rPr>
      </w:pPr>
      <w:r>
        <w:rPr>
          <w:rFonts w:hint="eastAsia" w:ascii="仿宋_GB2312" w:hAnsi="华文仿宋" w:eastAsia="仿宋_GB2312"/>
          <w:color w:val="333333"/>
          <w:sz w:val="32"/>
          <w:szCs w:val="32"/>
          <w:lang w:val="en-US" w:eastAsia="zh-CN"/>
        </w:rPr>
        <w:t>预算项目支出不够细化，造成部门项目支出率较低。</w:t>
      </w:r>
    </w:p>
    <w:p w14:paraId="208F7A6C">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66CFEC02">
      <w:pPr>
        <w:adjustRightInd w:val="0"/>
        <w:snapToGrid w:val="0"/>
        <w:spacing w:line="560" w:lineRule="exact"/>
        <w:ind w:firstLine="640" w:firstLineChars="200"/>
        <w:jc w:val="left"/>
        <w:rPr>
          <w:rFonts w:hint="eastAsia" w:ascii="仿宋_GB2312" w:hAnsi="华文仿宋" w:eastAsia="仿宋_GB2312"/>
          <w:color w:val="333333"/>
          <w:sz w:val="32"/>
          <w:szCs w:val="32"/>
        </w:rPr>
      </w:pPr>
      <w:r>
        <w:rPr>
          <w:rFonts w:hint="eastAsia" w:ascii="仿宋_GB2312" w:hAnsi="华文仿宋" w:eastAsia="仿宋_GB2312"/>
          <w:color w:val="333333"/>
          <w:sz w:val="32"/>
          <w:szCs w:val="32"/>
        </w:rPr>
        <w:t>问题提出具体的改进措施，一是完善制度，健全组织机构；二是项目启动、程序运行规范化；三是严格档案资料管理。</w:t>
      </w:r>
    </w:p>
    <w:p w14:paraId="721BE3D6">
      <w:pPr>
        <w:adjustRightInd w:val="0"/>
        <w:snapToGrid w:val="0"/>
        <w:spacing w:line="560" w:lineRule="exact"/>
        <w:ind w:firstLine="640" w:firstLineChars="200"/>
        <w:jc w:val="left"/>
        <w:rPr>
          <w:rFonts w:hint="eastAsia" w:ascii="楷体" w:hAnsi="楷体" w:eastAsia="楷体"/>
          <w:bCs/>
          <w:sz w:val="32"/>
          <w:szCs w:val="32"/>
        </w:rPr>
      </w:pPr>
      <w:r>
        <w:rPr>
          <w:rFonts w:hint="eastAsia" w:ascii="仿宋_GB2312" w:hAnsi="华文仿宋" w:eastAsia="仿宋_GB2312"/>
          <w:color w:val="333333"/>
          <w:sz w:val="32"/>
          <w:szCs w:val="32"/>
        </w:rPr>
        <w:t>加强重点工作的质量管理及结果考核，提高整体效能。严格落实财政专项资金，确保专款专用，加强财务管理，在今后的工作中，对财政资金的资金用途严格审核，对资金的支出明细进行逐笔核查，发现有账务处理不恰当的及时调整。</w:t>
      </w:r>
    </w:p>
    <w:p w14:paraId="4F0454CB">
      <w:pPr>
        <w:spacing w:line="560" w:lineRule="exact"/>
        <w:ind w:firstLine="640" w:firstLineChars="200"/>
        <w:rPr>
          <w:rFonts w:ascii="楷体" w:hAnsi="楷体" w:eastAsia="楷体"/>
          <w:bCs/>
          <w:sz w:val="32"/>
          <w:szCs w:val="32"/>
        </w:rPr>
      </w:pPr>
    </w:p>
    <w:p w14:paraId="5A4E8621">
      <w:pPr>
        <w:adjustRightInd w:val="0"/>
        <w:snapToGrid w:val="0"/>
        <w:spacing w:line="560" w:lineRule="exact"/>
        <w:ind w:firstLine="640" w:firstLineChars="200"/>
        <w:rPr>
          <w:rFonts w:ascii="黑体" w:hAnsi="黑体" w:eastAsia="黑体"/>
          <w:sz w:val="32"/>
          <w:szCs w:val="32"/>
        </w:rPr>
      </w:pPr>
    </w:p>
    <w:p w14:paraId="44EA4C54">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888C3C">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2FC728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22FC728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740D26"/>
    <w:rsid w:val="1BE140DE"/>
    <w:rsid w:val="1E542E40"/>
    <w:rsid w:val="248C197D"/>
    <w:rsid w:val="252959AF"/>
    <w:rsid w:val="277A6671"/>
    <w:rsid w:val="292D35B7"/>
    <w:rsid w:val="33EB6CFF"/>
    <w:rsid w:val="35A12947"/>
    <w:rsid w:val="37387040"/>
    <w:rsid w:val="3B625C0A"/>
    <w:rsid w:val="3CEE1963"/>
    <w:rsid w:val="436B78D3"/>
    <w:rsid w:val="4C583A93"/>
    <w:rsid w:val="4C9C27FE"/>
    <w:rsid w:val="4FDA70D6"/>
    <w:rsid w:val="502A44B1"/>
    <w:rsid w:val="512260B4"/>
    <w:rsid w:val="52BD6ACB"/>
    <w:rsid w:val="55537534"/>
    <w:rsid w:val="561A74F1"/>
    <w:rsid w:val="58B17416"/>
    <w:rsid w:val="597244E8"/>
    <w:rsid w:val="5EB71C30"/>
    <w:rsid w:val="66AF0CE5"/>
    <w:rsid w:val="68AC2130"/>
    <w:rsid w:val="6AC537CF"/>
    <w:rsid w:val="6E5B14A6"/>
    <w:rsid w:val="711B255E"/>
    <w:rsid w:val="76B6506D"/>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Pages>
  <Words>2058</Words>
  <Characters>2127</Characters>
  <Lines>4</Lines>
  <Paragraphs>1</Paragraphs>
  <TotalTime>0</TotalTime>
  <ScaleCrop>false</ScaleCrop>
  <LinksUpToDate>false</LinksUpToDate>
  <CharactersWithSpaces>2149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与桑</cp:lastModifiedBy>
  <cp:lastPrinted>2026-03-03T01:23:00Z</cp:lastPrinted>
  <dcterms:modified xsi:type="dcterms:W3CDTF">2026-06-09T07:28:46Z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F515F8C9723B4C8DAC30430BC3C518F2</vt:lpwstr>
  </property>
  <property fmtid="{D5CDD505-2E9C-101B-9397-08002B2CF9AE}" pid="4" name="KSOTemplateDocerSaveRecord">
    <vt:lpwstr>eyJoZGlkIjoiZTAwY2ZiMDhmMDFlNTRmN2E0OTM4MmUyM2MxMzgyMTMiLCJ1c2VySWQiOiIxMTU2NTI4NDkwIn0=</vt:lpwstr>
  </property>
</Properties>
</file>