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t>石家庄市新华区卫生健康局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lang w:val="en-US" w:eastAsia="zh-CN" w:bidi="ar"/>
        </w:rPr>
        <w:t>行政处罚服务指南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kern w:val="0"/>
          <w:sz w:val="21"/>
          <w:szCs w:val="21"/>
          <w:u w:val="none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一、执法事项：</w:t>
      </w:r>
      <w:r>
        <w:rPr>
          <w:rFonts w:ascii="Calibri" w:hAnsi="Calibri" w:eastAsia="仿宋_GB2312" w:cs="Calibri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 </w:t>
      </w:r>
      <w:r>
        <w:rPr>
          <w:rFonts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卫生行政处罚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二、依据：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《中华人民共和国行政处罚法》《中华人民共和国行政强制法》《中华人民共和国行政复议法》《中华人民共和国行政诉讼法》《中华人民共和国传染病防治法》《中华人民共和国执业医师法》《中华人民共和国职业病防治法》《中华人民共和国人口与计划生育法》《中华人民共和国母婴保健法》《中华人民共和国献血法》《医疗机构管理条例》《学校卫生工作条例》《医疗废物管理条例》《生活饮用水卫生监督管理办法》《消毒管理办法》《公共场所卫生管理条例》等有关法律、法规及规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三、处罚范围：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依法开展公共场所卫生、饮用水卫生、学校卫生、医疗卫生、职业卫生、放射卫生、传染病防治、计划生育和中医服务等综合监督行政执法，查处违法行为。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2878" w:right="0" w:hanging="22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四、承办机构：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石家庄市新华区卫生健康监督执法所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5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五、审批机构：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石家庄市新华区卫生健康局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2400" w:right="0" w:hanging="240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    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六、办理流程：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见石家庄市新华区卫生健康局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行政处罚流程图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七、办理时限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（一）自受理之日7日内立案；2个月内调查终结，3个月作出行政处罚决定。需要延长办案时限的，应当在期限届满10前报请上级行政机关批准或省级行政机关负责人集体讨论决定，延长期限一般不超过3个月。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（二）证据先行登记保存时限7天，查封扣押期限30天，情况复杂需要延长的，经行政机关负责人批准可延长30日。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（三）直接送达的文书7日内送达，公告送达时限60天。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八、监督方式：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纪检委问卷调查，稽查跟踪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九、救济渠道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（一）行政处罚事先告知下达后3日内，当事人有要求陈述、申辩或听证的权力；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（二）行政处罚决定书送达后，当事人应当在15日内履行。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（三）如不服行政机关作出的处罚决定，可在收到行政处罚决定书之日起60日内向上级行政部门或同级人民政府申请行政复议，或者6个月内向作出行政处罚决定行政机关所在地人民法院提请诉讼。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十、处罚结果：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向当事人送达行政处罚决定书，行政处罚内容在河北政务服务网站、新华区人民政府网站公示。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十一、责任追究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（一）对没有法定的行政处罚依据，擅自改变行政处罚种类幅度，违反法定的行政处罚程序的，对直接负责的主管人员和其他直接责任人员依法给予行政处分。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（二）对不使用罚款、没收财物单据或者使用非法定部门制发的罚款、没收财物单据的，对直接负责的主管人员和其他直接责任人员依法给予行政处分。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三）对将罚款、没收的违法所得或者财物截留、私分或者变相私分的，由财政部门或者有关部门予以追缴，对直接负责的主管人员和其他直接责任人员依法给予行政处分；情节严重构成犯罪的，依法追究刑事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（四）对利用职务上的便利，索取或者收受他人财物、收缴罚款据为己有，构成犯罪的，依法追究刑事责任；情节轻微不构成犯罪的，依法给予行政处分。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（五）对使用或者损毁扣押的财物，对当事人造成损失的，应当依法予以赔偿，对直接负责的主管人员和其他直接责任人员依法给予行政处分。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石家庄市新华区卫生健康局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420"/>
        <w:jc w:val="center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kern w:val="0"/>
          <w:sz w:val="44"/>
          <w:szCs w:val="44"/>
          <w:u w:val="none"/>
          <w:shd w:val="clear" w:fill="FFFFFF"/>
          <w:lang w:val="en-US" w:eastAsia="zh-CN" w:bidi="ar"/>
        </w:rPr>
        <w:t>行政检查服务指南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一、执法事项：</w:t>
      </w:r>
      <w:r>
        <w:rPr>
          <w:rFonts w:hint="default" w:ascii="Calibri" w:hAnsi="Calibri" w:eastAsia="仿宋_GB2312" w:cs="Calibri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 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卫生行政检查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二、依据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：《中华人民共和国行政处罚法》《中华人民共和国行政强制法》《中华人民共和国行政复议法》《中华人民共和国行政诉讼法》《中华人民共和国传染病防治法》《中华人民共和国执业医师法》《中华人民共和国职业病防治法》《中华人民共和国人口与计划生育法》《中华人民共和国母婴保健法》《中华人民共和国献血法》《医疗机构管理条例》《学校卫生工作条例》《医疗废物管理条例》《生活饮用水卫生监督管理办法》《消毒管理办法》《公共场所卫生管理条例》等有关法律、法规及规章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三、检查范围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根据卫生相关法律法规，依法开展公共场所卫生、饮用水卫生、学校卫生、医疗卫生、职业卫生、放射卫生、传染病防治、计划生育和中医服务等综合监督行政执法工作。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2718" w:right="0" w:hanging="208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四、承办机构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：石家庄新华区卫生健康监督执法所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5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宋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五、办理流程: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见石家庄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市新华区卫生健康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局行政检查流程图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（一）检查准备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1、数据库查询，确定检查的执法人员和拟检查单位；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2、制定检查方案；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3、通知被检查单位（法定代表人）；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4、准备检查执法文书。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（二）实施检查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1、出示统计执法检查证件（二人以上）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2、进行现场检查、询问和取证；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3、制作现场检查笔录、询问笔录文书；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4、制作检查基本情况文书；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5、检查人员复核文书、作出检查说明、签名；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6、被检查单位法定代表人和当事人复核文书、签署意见、签名。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（三）结果处理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撰写检查报告，确定是否存在违法嫌疑。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1、无违法嫌疑。检查文书整理后归档。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2、有违法嫌疑，根据情节严重程度进行处理。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（1）情节轻微，依法责令改正；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（2）情节较轻，执行简易程序，依法当场处罚；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（3）情节较重，执行一般程序，依法立案处理。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u w:val="none"/>
        </w:rPr>
        <w:t>执行一般程序案件，按照行政处罚流程进行处理。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六、监督方式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：纪检委问卷调查，稽查跟踪稽查。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80" w:lineRule="atLeast"/>
        <w:ind w:left="0" w:right="0" w:firstLine="64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u w:val="none"/>
          <w:lang w:val="en-US" w:eastAsia="zh-CN" w:bidi="ar"/>
        </w:rPr>
        <w:t>七、责任追究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（一）对利用职务上的便利，索取或者收受他人财物，构成犯罪的，依法追究刑事责任；情节轻微不构成犯罪的，依法给予行政处分。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二）对违法实行检查措施的，给公民人身或者财产造成损害、给法人或者其他组织造成损失的，应当依法予以赔偿，对直接负责的主管人员和其他直接责任人员依法给予行政处分；情节严重构成犯罪的，依法追究刑事责任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640"/>
        <w:jc w:val="both"/>
        <w:textAlignment w:val="baseline"/>
        <w:rPr>
          <w:rFonts w:hint="eastAsia" w:ascii="微软雅黑" w:hAnsi="微软雅黑" w:eastAsia="微软雅黑" w:cs="微软雅黑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三）执法人员玩忽职守，对应当予以制止和处罚的违法行为不予制止、处罚，致使公民、法人或者其他组织的合法权益、公共利益和社会秩序遭受损害的，对直接负责的主管人员和其他直接责任人员依法给予行政处分；情节严重构成犯罪的，依法追究刑事责任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F2502"/>
    <w:rsid w:val="34135CFB"/>
    <w:rsid w:val="3C99470F"/>
    <w:rsid w:val="4E396462"/>
    <w:rsid w:val="77487B3A"/>
    <w:rsid w:val="7FFEB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2023-05-25T14:53:00Z</dcterms:created>
  <dc:creator>Administrator</dc:creator>
  <cp:lastModifiedBy>Administrator</cp:lastModifiedBy>
  <dcterms:modified xsi:type="dcterms:W3CDTF">2026-07-08T08:56:37Z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2052-11.8.2.12316</vt:lpwstr>
  </property>
  <property fmtid="{D5CDD505-2E9C-101B-9397-08002B2CF9AE}" pid="3" name="ICV">
    <vt:lpwstr>6743CD50A475479C86863B4D7A554865</vt:lpwstr>
  </property>
</Properties>
</file>