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jc w:val="center"/>
        <w:rPr>
          <w:rFonts w:hint="eastAsia" w:ascii="黑体" w:hAnsi="黑体" w:eastAsia="黑体" w:cs="黑体"/>
          <w:sz w:val="44"/>
          <w:szCs w:val="44"/>
          <w:lang w:eastAsia="zh-CN"/>
        </w:rPr>
      </w:pPr>
      <w:r>
        <w:rPr>
          <w:rFonts w:hint="eastAsia" w:ascii="黑体" w:hAnsi="黑体" w:eastAsia="黑体" w:cs="黑体"/>
          <w:sz w:val="44"/>
          <w:szCs w:val="44"/>
          <w:lang w:eastAsia="zh-CN"/>
        </w:rPr>
        <w:t>石家庄市新华区数据和政务服务局</w:t>
      </w:r>
    </w:p>
    <w:p>
      <w:pPr>
        <w:spacing w:line="480" w:lineRule="exact"/>
        <w:jc w:val="center"/>
        <w:rPr>
          <w:rFonts w:hint="eastAsia" w:ascii="黑体" w:hAnsi="黑体" w:eastAsia="黑体" w:cs="黑体"/>
          <w:sz w:val="44"/>
          <w:szCs w:val="44"/>
          <w:lang w:val="en-US" w:eastAsia="zh-CN"/>
        </w:rPr>
      </w:pPr>
      <w:r>
        <w:rPr>
          <w:rFonts w:hint="eastAsia" w:ascii="黑体" w:hAnsi="黑体" w:eastAsia="黑体" w:cs="黑体"/>
          <w:sz w:val="44"/>
          <w:szCs w:val="44"/>
          <w:lang w:eastAsia="zh-CN"/>
        </w:rPr>
        <w:t>关于石家庄友仁</w:t>
      </w:r>
      <w:r>
        <w:rPr>
          <w:rFonts w:hint="eastAsia" w:ascii="黑体" w:hAnsi="黑体" w:eastAsia="黑体" w:cs="黑体"/>
          <w:sz w:val="44"/>
          <w:szCs w:val="44"/>
          <w:lang w:val="en-US" w:eastAsia="zh-CN"/>
        </w:rPr>
        <w:t>动物医院有限公司</w:t>
      </w:r>
    </w:p>
    <w:p>
      <w:pPr>
        <w:spacing w:line="480" w:lineRule="exact"/>
        <w:jc w:val="center"/>
        <w:rPr>
          <w:rFonts w:hint="eastAsia" w:ascii="黑体" w:hAnsi="黑体" w:eastAsia="黑体" w:cs="黑体"/>
          <w:sz w:val="44"/>
          <w:szCs w:val="44"/>
          <w:lang w:eastAsia="zh-CN"/>
        </w:rPr>
      </w:pPr>
      <w:r>
        <w:rPr>
          <w:rFonts w:hint="eastAsia" w:ascii="黑体" w:hAnsi="黑体" w:eastAsia="黑体" w:cs="黑体"/>
          <w:sz w:val="44"/>
          <w:szCs w:val="44"/>
          <w:lang w:eastAsia="zh-CN"/>
        </w:rPr>
        <w:t>建设项目环境影响报告</w:t>
      </w:r>
      <w:r>
        <w:rPr>
          <w:rFonts w:hint="eastAsia" w:ascii="黑体" w:hAnsi="黑体" w:eastAsia="黑体" w:cs="黑体"/>
          <w:sz w:val="44"/>
          <w:szCs w:val="44"/>
          <w:lang w:val="en-US" w:eastAsia="zh-CN"/>
        </w:rPr>
        <w:t>表</w:t>
      </w:r>
      <w:r>
        <w:rPr>
          <w:rFonts w:hint="eastAsia" w:ascii="黑体" w:hAnsi="黑体" w:eastAsia="黑体" w:cs="黑体"/>
          <w:sz w:val="44"/>
          <w:szCs w:val="44"/>
          <w:lang w:eastAsia="zh-CN"/>
        </w:rPr>
        <w:t>的批复决定的公示</w:t>
      </w:r>
    </w:p>
    <w:p>
      <w:pPr>
        <w:pStyle w:val="7"/>
        <w:spacing w:before="0" w:beforeAutospacing="0" w:after="0" w:afterAutospacing="0" w:line="420" w:lineRule="atLeast"/>
        <w:ind w:firstLine="480" w:firstLineChars="200"/>
      </w:pPr>
      <w:r>
        <w:rPr>
          <w:shd w:val="clear" w:color="auto" w:fill="FFFFFF"/>
        </w:rPr>
        <w:t>根据建设项目环境影响评价审批程序的有关规定，经审议，我局已经对该项目做出审批决定。现将审批决定情况公开。</w:t>
      </w:r>
    </w:p>
    <w:p>
      <w:pPr>
        <w:pStyle w:val="7"/>
        <w:spacing w:before="0" w:beforeAutospacing="0" w:after="0" w:afterAutospacing="0" w:line="420" w:lineRule="atLeast"/>
        <w:ind w:firstLine="420"/>
      </w:pPr>
      <w:r>
        <w:rPr>
          <w:shd w:val="clear" w:color="auto" w:fill="FFFFFF"/>
        </w:rPr>
        <w:t>公告期限：自本公告发布之日起5个工作日。</w:t>
      </w:r>
    </w:p>
    <w:p>
      <w:pPr>
        <w:pStyle w:val="7"/>
        <w:spacing w:before="0" w:beforeAutospacing="0" w:after="0" w:afterAutospacing="0" w:line="420" w:lineRule="atLeast"/>
      </w:pPr>
      <w:r>
        <w:rPr>
          <w:rFonts w:hint="eastAsia" w:cs="宋体"/>
          <w:szCs w:val="24"/>
        </w:rPr>
        <w:t>石家庄市新华区</w:t>
      </w:r>
      <w:r>
        <w:rPr>
          <w:rFonts w:hint="eastAsia" w:cs="宋体"/>
          <w:szCs w:val="24"/>
          <w:lang w:val="en-US" w:eastAsia="zh-CN"/>
        </w:rPr>
        <w:t>数据和政务服务</w:t>
      </w:r>
      <w:r>
        <w:rPr>
          <w:rFonts w:hint="eastAsia" w:cs="宋体"/>
          <w:szCs w:val="24"/>
        </w:rPr>
        <w:t xml:space="preserve">局联系电话：0311-86270105 </w:t>
      </w:r>
      <w:r>
        <w:rPr>
          <w:rFonts w:hint="eastAsia" w:cs="宋体"/>
          <w:szCs w:val="24"/>
          <w:lang w:val="en-US" w:eastAsia="zh-CN"/>
        </w:rPr>
        <w:t xml:space="preserve"> </w:t>
      </w:r>
      <w:r>
        <w:rPr>
          <w:rFonts w:hint="eastAsia" w:cs="宋体"/>
          <w:szCs w:val="24"/>
        </w:rPr>
        <w:t>0311-86271625</w:t>
      </w:r>
    </w:p>
    <w:p>
      <w:pPr>
        <w:pStyle w:val="7"/>
        <w:spacing w:before="0" w:beforeAutospacing="0" w:after="0" w:afterAutospacing="0" w:line="420" w:lineRule="atLeast"/>
        <w:ind w:firstLine="420"/>
      </w:pPr>
      <w:r>
        <w:rPr>
          <w:rFonts w:hint="eastAsia" w:cs="宋体"/>
          <w:szCs w:val="24"/>
        </w:rPr>
        <w:t>电子邮箱：</w:t>
      </w:r>
      <w:r>
        <w:rPr>
          <w:rFonts w:hint="eastAsia" w:cs="宋体"/>
          <w:szCs w:val="24"/>
          <w:lang w:val="en-US" w:eastAsia="zh-CN"/>
        </w:rPr>
        <w:t>spjxmjsk1@1</w:t>
      </w:r>
      <w:r>
        <w:rPr>
          <w:rFonts w:hint="eastAsia" w:cs="宋体"/>
          <w:szCs w:val="24"/>
        </w:rPr>
        <w:t>6</w:t>
      </w:r>
      <w:r>
        <w:rPr>
          <w:rFonts w:hint="eastAsia" w:cs="宋体"/>
          <w:szCs w:val="24"/>
          <w:lang w:val="en-US" w:eastAsia="zh-CN"/>
        </w:rPr>
        <w:t>3</w:t>
      </w:r>
      <w:r>
        <w:rPr>
          <w:rFonts w:hint="eastAsia" w:cs="宋体"/>
          <w:szCs w:val="24"/>
        </w:rPr>
        <w:t>.com　</w:t>
      </w:r>
    </w:p>
    <w:p>
      <w:pPr>
        <w:pStyle w:val="7"/>
        <w:spacing w:before="0" w:beforeAutospacing="0" w:after="0" w:afterAutospacing="0" w:line="420" w:lineRule="atLeast"/>
        <w:ind w:firstLine="420"/>
      </w:pPr>
      <w:r>
        <w:rPr>
          <w:rFonts w:hint="eastAsia" w:cs="宋体"/>
          <w:szCs w:val="24"/>
        </w:rPr>
        <w:t>地址：新华区康乐街1号</w:t>
      </w:r>
    </w:p>
    <w:p>
      <w:pPr>
        <w:ind w:firstLine="480" w:firstLineChars="200"/>
        <w:rPr>
          <w:rStyle w:val="10"/>
        </w:rPr>
      </w:pPr>
      <w:r>
        <w:rPr>
          <w:rFonts w:hint="eastAsia" w:ascii="宋体" w:hAnsi="宋体" w:cs="宋体"/>
          <w:sz w:val="24"/>
        </w:rPr>
        <w:t>邮编：</w:t>
      </w:r>
      <w:r>
        <w:rPr>
          <w:rFonts w:ascii="Calibri" w:hAnsi="Calibri" w:cs="Calibri"/>
          <w:sz w:val="24"/>
        </w:rPr>
        <w:t>0500</w:t>
      </w:r>
      <w:r>
        <w:rPr>
          <w:rFonts w:hint="eastAsia" w:ascii="宋体" w:hAnsi="宋体" w:cs="宋体"/>
          <w:sz w:val="24"/>
        </w:rPr>
        <w:t>00</w:t>
      </w:r>
    </w:p>
    <w:p>
      <w:pPr>
        <w:pStyle w:val="7"/>
        <w:spacing w:before="0" w:beforeAutospacing="0" w:after="0" w:afterAutospacing="0" w:line="420" w:lineRule="atLeast"/>
        <w:ind w:firstLine="420"/>
      </w:pPr>
      <w:r>
        <w:rPr>
          <w:shd w:val="clear" w:color="auto" w:fill="FFFFFF"/>
        </w:rPr>
        <w:t>行政复议与行政诉讼权利告知：公民、法人或者其他组织认为公告的环境影响评价批复或建设项目竣工环境保护验收决定侵犯其合法权益的，可以自公告期限届满之日起六十日内提起行政复议，也可以自公告期限届满之日起三个月内提起行政诉讼。</w:t>
      </w:r>
    </w:p>
    <w:p>
      <w:pPr>
        <w:jc w:val="center"/>
        <w:rPr>
          <w:rFonts w:eastAsia="黑体"/>
          <w:b/>
          <w:bCs/>
          <w:sz w:val="44"/>
          <w:szCs w:val="30"/>
        </w:rPr>
      </w:pPr>
    </w:p>
    <w:p>
      <w:pPr>
        <w:pStyle w:val="11"/>
      </w:pPr>
    </w:p>
    <w:p>
      <w:pPr>
        <w:rPr>
          <w:rFonts w:eastAsia="黑体"/>
          <w:b/>
          <w:bCs/>
          <w:spacing w:val="-23"/>
          <w:sz w:val="44"/>
          <w:szCs w:val="30"/>
        </w:rPr>
      </w:pPr>
    </w:p>
    <w:p>
      <w:pPr>
        <w:pStyle w:val="14"/>
        <w:ind w:firstLine="560"/>
      </w:pPr>
    </w:p>
    <w:p>
      <w:pPr>
        <w:pStyle w:val="14"/>
        <w:ind w:firstLine="560"/>
      </w:pPr>
    </w:p>
    <w:p>
      <w:pPr>
        <w:pStyle w:val="14"/>
        <w:ind w:firstLine="560"/>
      </w:pPr>
    </w:p>
    <w:p>
      <w:pPr>
        <w:pStyle w:val="14"/>
        <w:ind w:firstLine="560"/>
      </w:pPr>
    </w:p>
    <w:p>
      <w:pPr>
        <w:pStyle w:val="14"/>
        <w:ind w:firstLine="560"/>
      </w:pPr>
    </w:p>
    <w:p>
      <w:pPr>
        <w:pStyle w:val="14"/>
        <w:ind w:firstLine="560"/>
      </w:pPr>
    </w:p>
    <w:p/>
    <w:p>
      <w:pPr>
        <w:rPr>
          <w:rFonts w:hint="eastAsia"/>
          <w:color w:val="000000"/>
          <w:sz w:val="36"/>
          <w:szCs w:val="36"/>
        </w:rPr>
      </w:pPr>
    </w:p>
    <w:p>
      <w:pPr>
        <w:spacing w:line="480" w:lineRule="exact"/>
        <w:jc w:val="center"/>
        <w:rPr>
          <w:rStyle w:val="10"/>
          <w:rFonts w:hint="eastAsia" w:ascii="方正小标宋简体" w:hAnsi="方正小标宋简体" w:eastAsia="方正小标宋简体" w:cs="方正小标宋简体"/>
          <w:b w:val="0"/>
          <w:color w:val="auto"/>
          <w:sz w:val="44"/>
          <w:szCs w:val="44"/>
          <w:lang w:eastAsia="zh-CN"/>
        </w:rPr>
      </w:pPr>
    </w:p>
    <w:p>
      <w:pPr>
        <w:spacing w:line="480" w:lineRule="exact"/>
        <w:jc w:val="center"/>
        <w:rPr>
          <w:rStyle w:val="10"/>
          <w:rFonts w:hint="eastAsia" w:ascii="方正小标宋简体" w:hAnsi="方正小标宋简体" w:eastAsia="方正小标宋简体" w:cs="方正小标宋简体"/>
          <w:b w:val="0"/>
          <w:color w:val="auto"/>
          <w:sz w:val="44"/>
          <w:szCs w:val="44"/>
          <w:lang w:eastAsia="zh-CN"/>
        </w:rPr>
      </w:pPr>
    </w:p>
    <w:p>
      <w:pPr>
        <w:spacing w:line="480" w:lineRule="exact"/>
        <w:jc w:val="center"/>
        <w:rPr>
          <w:rStyle w:val="10"/>
          <w:rFonts w:hint="eastAsia" w:ascii="方正小标宋简体" w:hAnsi="方正小标宋简体" w:eastAsia="方正小标宋简体" w:cs="方正小标宋简体"/>
          <w:b w:val="0"/>
          <w:color w:val="auto"/>
          <w:sz w:val="44"/>
          <w:szCs w:val="44"/>
        </w:rPr>
      </w:pPr>
      <w:r>
        <w:rPr>
          <w:rStyle w:val="10"/>
          <w:rFonts w:hint="eastAsia" w:ascii="方正小标宋简体" w:hAnsi="方正小标宋简体" w:eastAsia="方正小标宋简体" w:cs="方正小标宋简体"/>
          <w:b w:val="0"/>
          <w:color w:val="auto"/>
          <w:sz w:val="44"/>
          <w:szCs w:val="44"/>
          <w:lang w:eastAsia="zh-CN"/>
        </w:rPr>
        <w:t>石家庄市</w:t>
      </w:r>
      <w:r>
        <w:rPr>
          <w:rStyle w:val="10"/>
          <w:rFonts w:hint="eastAsia" w:ascii="方正小标宋简体" w:hAnsi="方正小标宋简体" w:eastAsia="方正小标宋简体" w:cs="方正小标宋简体"/>
          <w:b w:val="0"/>
          <w:color w:val="auto"/>
          <w:sz w:val="44"/>
          <w:szCs w:val="44"/>
        </w:rPr>
        <w:t>新华区</w:t>
      </w:r>
      <w:r>
        <w:rPr>
          <w:rStyle w:val="10"/>
          <w:rFonts w:hint="eastAsia" w:ascii="方正小标宋简体" w:hAnsi="方正小标宋简体" w:eastAsia="方正小标宋简体" w:cs="方正小标宋简体"/>
          <w:b w:val="0"/>
          <w:color w:val="auto"/>
          <w:sz w:val="44"/>
          <w:szCs w:val="44"/>
          <w:lang w:eastAsia="zh-CN"/>
        </w:rPr>
        <w:t>数据和政务服务</w:t>
      </w:r>
      <w:r>
        <w:rPr>
          <w:rStyle w:val="10"/>
          <w:rFonts w:hint="eastAsia" w:ascii="方正小标宋简体" w:hAnsi="方正小标宋简体" w:eastAsia="方正小标宋简体" w:cs="方正小标宋简体"/>
          <w:b w:val="0"/>
          <w:color w:val="auto"/>
          <w:sz w:val="44"/>
          <w:szCs w:val="44"/>
        </w:rPr>
        <w:t>局</w:t>
      </w:r>
    </w:p>
    <w:p>
      <w:pPr>
        <w:spacing w:line="480" w:lineRule="exact"/>
        <w:jc w:val="center"/>
        <w:rPr>
          <w:rFonts w:hint="eastAsia" w:ascii="方正小标宋简体" w:hAnsi="方正小标宋简体" w:eastAsia="方正小标宋简体" w:cs="方正小标宋简体"/>
          <w:sz w:val="44"/>
          <w:szCs w:val="44"/>
        </w:rPr>
      </w:pPr>
      <w:r>
        <w:rPr>
          <w:rStyle w:val="10"/>
          <w:rFonts w:hint="eastAsia" w:ascii="方正小标宋简体" w:hAnsi="方正小标宋简体" w:eastAsia="方正小标宋简体" w:cs="方正小标宋简体"/>
          <w:b w:val="0"/>
          <w:color w:val="auto"/>
          <w:sz w:val="44"/>
          <w:szCs w:val="44"/>
        </w:rPr>
        <w:t>关于</w:t>
      </w:r>
      <w:r>
        <w:rPr>
          <w:rFonts w:hint="eastAsia" w:ascii="方正小标宋简体" w:hAnsi="方正小标宋简体" w:eastAsia="方正小标宋简体" w:cs="方正小标宋简体"/>
          <w:sz w:val="44"/>
          <w:szCs w:val="44"/>
          <w:lang w:eastAsia="zh-CN"/>
        </w:rPr>
        <w:t>石家庄</w:t>
      </w:r>
      <w:r>
        <w:rPr>
          <w:rFonts w:hint="eastAsia" w:ascii="方正小标宋简体" w:hAnsi="方正小标宋简体" w:eastAsia="方正小标宋简体" w:cs="方正小标宋简体"/>
          <w:sz w:val="44"/>
          <w:szCs w:val="44"/>
          <w:lang w:val="en-US" w:eastAsia="zh-CN"/>
        </w:rPr>
        <w:t>友仁动物医院有限公司</w:t>
      </w:r>
      <w:r>
        <w:rPr>
          <w:rFonts w:hint="eastAsia" w:ascii="方正小标宋简体" w:hAnsi="方正小标宋简体" w:eastAsia="方正小标宋简体" w:cs="方正小标宋简体"/>
          <w:sz w:val="44"/>
          <w:szCs w:val="44"/>
          <w:lang w:eastAsia="zh-CN"/>
        </w:rPr>
        <w:t>建设</w:t>
      </w:r>
      <w:r>
        <w:rPr>
          <w:rFonts w:hint="eastAsia" w:ascii="方正小标宋简体" w:hAnsi="方正小标宋简体" w:eastAsia="方正小标宋简体" w:cs="方正小标宋简体"/>
          <w:sz w:val="44"/>
          <w:szCs w:val="44"/>
        </w:rPr>
        <w:t>项目</w:t>
      </w:r>
      <w:r>
        <w:rPr>
          <w:rStyle w:val="10"/>
          <w:rFonts w:hint="eastAsia" w:ascii="方正小标宋简体" w:hAnsi="方正小标宋简体" w:eastAsia="方正小标宋简体" w:cs="方正小标宋简体"/>
          <w:b w:val="0"/>
          <w:color w:val="auto"/>
          <w:sz w:val="44"/>
          <w:szCs w:val="44"/>
        </w:rPr>
        <w:t>环境影响报告</w:t>
      </w:r>
      <w:r>
        <w:rPr>
          <w:rStyle w:val="10"/>
          <w:rFonts w:hint="eastAsia" w:ascii="方正小标宋简体" w:hAnsi="方正小标宋简体" w:eastAsia="方正小标宋简体" w:cs="方正小标宋简体"/>
          <w:b w:val="0"/>
          <w:color w:val="auto"/>
          <w:sz w:val="44"/>
          <w:szCs w:val="44"/>
          <w:lang w:val="en-US" w:eastAsia="zh-CN"/>
        </w:rPr>
        <w:t>表</w:t>
      </w:r>
      <w:r>
        <w:rPr>
          <w:rStyle w:val="10"/>
          <w:rFonts w:hint="eastAsia" w:ascii="方正小标宋简体" w:hAnsi="方正小标宋简体" w:eastAsia="方正小标宋简体" w:cs="方正小标宋简体"/>
          <w:b w:val="0"/>
          <w:color w:val="auto"/>
          <w:sz w:val="44"/>
          <w:szCs w:val="44"/>
        </w:rPr>
        <w:t>的</w:t>
      </w:r>
      <w:r>
        <w:rPr>
          <w:rFonts w:hint="eastAsia" w:ascii="方正小标宋简体" w:hAnsi="方正小标宋简体" w:eastAsia="方正小标宋简体" w:cs="方正小标宋简体"/>
          <w:bCs/>
          <w:spacing w:val="15"/>
          <w:kern w:val="0"/>
          <w:sz w:val="44"/>
          <w:szCs w:val="44"/>
          <w:lang w:bidi="ar"/>
        </w:rPr>
        <w:t>批复</w:t>
      </w:r>
    </w:p>
    <w:p>
      <w:pPr>
        <w:spacing w:line="480" w:lineRule="exact"/>
        <w:ind w:firstLine="4500" w:firstLineChars="1500"/>
        <w:jc w:val="left"/>
        <w:rPr>
          <w:rFonts w:hint="eastAsia" w:ascii="仿宋" w:hAnsi="仿宋" w:eastAsia="仿宋" w:cs="仿宋"/>
          <w:sz w:val="30"/>
          <w:szCs w:val="30"/>
        </w:rPr>
      </w:pPr>
      <w:r>
        <w:rPr>
          <w:rFonts w:hint="eastAsia" w:ascii="仿宋" w:hAnsi="仿宋" w:eastAsia="仿宋" w:cs="仿宋"/>
          <w:sz w:val="30"/>
          <w:szCs w:val="30"/>
        </w:rPr>
        <w:t>石新</w:t>
      </w:r>
      <w:r>
        <w:rPr>
          <w:rFonts w:hint="eastAsia" w:ascii="仿宋" w:hAnsi="仿宋" w:eastAsia="仿宋" w:cs="仿宋"/>
          <w:sz w:val="30"/>
          <w:szCs w:val="30"/>
          <w:lang w:eastAsia="zh-CN"/>
        </w:rPr>
        <w:t>数政</w:t>
      </w:r>
      <w:r>
        <w:rPr>
          <w:rFonts w:hint="eastAsia" w:ascii="仿宋" w:hAnsi="仿宋" w:eastAsia="仿宋" w:cs="仿宋"/>
          <w:sz w:val="30"/>
          <w:szCs w:val="30"/>
        </w:rPr>
        <w:t>环评〔202</w:t>
      </w:r>
      <w:r>
        <w:rPr>
          <w:rFonts w:hint="eastAsia" w:ascii="仿宋" w:hAnsi="仿宋" w:eastAsia="仿宋" w:cs="仿宋"/>
          <w:sz w:val="30"/>
          <w:szCs w:val="30"/>
          <w:lang w:val="en-US" w:eastAsia="zh-CN"/>
        </w:rPr>
        <w:t>6</w:t>
      </w:r>
      <w:r>
        <w:rPr>
          <w:rFonts w:hint="eastAsia" w:ascii="仿宋" w:hAnsi="仿宋" w:eastAsia="仿宋" w:cs="仿宋"/>
          <w:sz w:val="30"/>
          <w:szCs w:val="30"/>
        </w:rPr>
        <w:t>〕</w:t>
      </w:r>
      <w:r>
        <w:rPr>
          <w:rFonts w:hint="eastAsia" w:ascii="仿宋" w:hAnsi="仿宋" w:eastAsia="仿宋" w:cs="仿宋"/>
          <w:sz w:val="30"/>
          <w:szCs w:val="30"/>
          <w:lang w:val="en-US" w:eastAsia="zh-CN"/>
        </w:rPr>
        <w:t xml:space="preserve">2 </w:t>
      </w:r>
      <w:r>
        <w:rPr>
          <w:rFonts w:hint="eastAsia" w:ascii="仿宋" w:hAnsi="仿宋" w:eastAsia="仿宋" w:cs="仿宋"/>
          <w:sz w:val="30"/>
          <w:szCs w:val="30"/>
        </w:rPr>
        <w:t>号</w:t>
      </w:r>
    </w:p>
    <w:p>
      <w:pPr>
        <w:spacing w:line="440" w:lineRule="exact"/>
        <w:rPr>
          <w:rFonts w:hint="eastAsia" w:ascii="仿宋" w:hAnsi="仿宋" w:eastAsia="仿宋" w:cs="仿宋"/>
          <w:sz w:val="32"/>
          <w:szCs w:val="32"/>
        </w:rPr>
      </w:pPr>
      <w:r>
        <w:rPr>
          <w:rFonts w:hint="eastAsia" w:ascii="仿宋" w:hAnsi="仿宋" w:eastAsia="仿宋" w:cs="仿宋"/>
          <w:sz w:val="32"/>
          <w:szCs w:val="32"/>
          <w:lang w:eastAsia="zh-CN"/>
        </w:rPr>
        <w:t>石家庄</w:t>
      </w:r>
      <w:r>
        <w:rPr>
          <w:rFonts w:hint="eastAsia" w:ascii="仿宋" w:hAnsi="仿宋" w:eastAsia="仿宋" w:cs="仿宋"/>
          <w:sz w:val="32"/>
          <w:szCs w:val="32"/>
          <w:lang w:val="en-US" w:eastAsia="zh-CN"/>
        </w:rPr>
        <w:t>友仁动物医院有限公司</w:t>
      </w:r>
      <w:r>
        <w:rPr>
          <w:rFonts w:hint="eastAsia" w:ascii="仿宋" w:hAnsi="仿宋" w:eastAsia="仿宋" w:cs="仿宋"/>
          <w:sz w:val="32"/>
          <w:szCs w:val="32"/>
        </w:rPr>
        <w:t>：</w:t>
      </w:r>
    </w:p>
    <w:p>
      <w:pPr>
        <w:spacing w:line="420" w:lineRule="exact"/>
        <w:ind w:firstLine="640" w:firstLineChars="200"/>
        <w:rPr>
          <w:rStyle w:val="10"/>
          <w:rFonts w:hint="eastAsia" w:ascii="仿宋" w:hAnsi="仿宋" w:eastAsia="仿宋" w:cs="仿宋"/>
          <w:b w:val="0"/>
          <w:color w:val="auto"/>
          <w:sz w:val="32"/>
          <w:szCs w:val="32"/>
        </w:rPr>
      </w:pPr>
      <w:r>
        <w:rPr>
          <w:rFonts w:hint="eastAsia" w:ascii="仿宋" w:hAnsi="仿宋" w:eastAsia="仿宋" w:cs="仿宋"/>
          <w:sz w:val="32"/>
          <w:szCs w:val="32"/>
        </w:rPr>
        <w:t>根据环评报告结论，从环保角度分析，经我局研究，符合《中华人民共和国环境影响评价法》和《建设项目环境保护管理条例》等相关规定，对你单位</w:t>
      </w:r>
      <w:r>
        <w:rPr>
          <w:rFonts w:hint="eastAsia" w:ascii="仿宋" w:hAnsi="仿宋" w:eastAsia="仿宋" w:cs="仿宋"/>
          <w:sz w:val="32"/>
          <w:szCs w:val="32"/>
          <w:lang w:val="en-US" w:eastAsia="zh-CN"/>
        </w:rPr>
        <w:t>石家庄友仁动物医院有限公司</w:t>
      </w:r>
      <w:r>
        <w:rPr>
          <w:rFonts w:hint="eastAsia" w:ascii="仿宋" w:hAnsi="仿宋" w:eastAsia="仿宋" w:cs="仿宋"/>
          <w:sz w:val="32"/>
          <w:szCs w:val="32"/>
          <w:lang w:eastAsia="zh-CN"/>
        </w:rPr>
        <w:t>建设</w:t>
      </w:r>
      <w:r>
        <w:rPr>
          <w:rFonts w:hint="eastAsia" w:ascii="仿宋" w:hAnsi="仿宋" w:eastAsia="仿宋" w:cs="仿宋"/>
          <w:sz w:val="32"/>
          <w:szCs w:val="32"/>
        </w:rPr>
        <w:t>项目</w:t>
      </w:r>
      <w:r>
        <w:rPr>
          <w:rFonts w:hint="eastAsia" w:ascii="仿宋" w:hAnsi="仿宋" w:eastAsia="仿宋" w:cs="仿宋"/>
          <w:kern w:val="0"/>
          <w:sz w:val="32"/>
          <w:szCs w:val="32"/>
          <w:lang w:bidi="ar"/>
        </w:rPr>
        <w:t>环境影响评价报告</w:t>
      </w:r>
      <w:r>
        <w:rPr>
          <w:rFonts w:hint="eastAsia" w:ascii="仿宋" w:hAnsi="仿宋" w:eastAsia="仿宋" w:cs="仿宋"/>
          <w:kern w:val="0"/>
          <w:sz w:val="32"/>
          <w:szCs w:val="32"/>
          <w:lang w:val="en-US" w:eastAsia="zh-CN" w:bidi="ar"/>
        </w:rPr>
        <w:t>表</w:t>
      </w:r>
      <w:r>
        <w:rPr>
          <w:rFonts w:hint="eastAsia" w:ascii="仿宋" w:hAnsi="仿宋" w:eastAsia="仿宋" w:cs="仿宋"/>
          <w:sz w:val="32"/>
          <w:szCs w:val="32"/>
        </w:rPr>
        <w:t>批复如下：</w:t>
      </w:r>
    </w:p>
    <w:p>
      <w:pPr>
        <w:numPr>
          <w:ilvl w:val="0"/>
          <w:numId w:val="2"/>
        </w:numPr>
        <w:spacing w:line="440" w:lineRule="exact"/>
        <w:ind w:firstLine="640" w:firstLineChars="200"/>
        <w:rPr>
          <w:rFonts w:hint="eastAsia" w:ascii="仿宋" w:hAnsi="仿宋" w:eastAsia="仿宋" w:cs="仿宋"/>
          <w:kern w:val="0"/>
          <w:sz w:val="32"/>
          <w:szCs w:val="32"/>
          <w:lang w:bidi="ar"/>
        </w:rPr>
      </w:pPr>
      <w:r>
        <w:rPr>
          <w:rFonts w:hint="eastAsia" w:ascii="仿宋" w:hAnsi="仿宋" w:eastAsia="仿宋" w:cs="仿宋"/>
          <w:kern w:val="0"/>
          <w:sz w:val="32"/>
          <w:szCs w:val="32"/>
          <w:lang w:bidi="ar"/>
        </w:rPr>
        <w:t>项目概况：</w:t>
      </w:r>
    </w:p>
    <w:p>
      <w:pPr>
        <w:spacing w:line="4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项目位于河北省石家庄市新华区</w:t>
      </w:r>
      <w:r>
        <w:rPr>
          <w:rFonts w:hint="eastAsia" w:ascii="仿宋" w:hAnsi="仿宋" w:eastAsia="仿宋" w:cs="仿宋"/>
          <w:sz w:val="32"/>
          <w:szCs w:val="32"/>
          <w:lang w:eastAsia="zh-CN"/>
        </w:rPr>
        <w:t>兴凯路</w:t>
      </w:r>
      <w:r>
        <w:rPr>
          <w:rFonts w:hint="eastAsia" w:ascii="仿宋" w:hAnsi="仿宋" w:eastAsia="仿宋" w:cs="仿宋"/>
          <w:sz w:val="32"/>
          <w:szCs w:val="32"/>
          <w:lang w:val="en-US" w:eastAsia="zh-CN"/>
        </w:rPr>
        <w:t>128号金凯园底商105号铺位，</w:t>
      </w:r>
      <w:r>
        <w:rPr>
          <w:rFonts w:hint="eastAsia" w:ascii="仿宋" w:hAnsi="仿宋" w:eastAsia="仿宋" w:cs="仿宋"/>
          <w:sz w:val="32"/>
          <w:szCs w:val="32"/>
        </w:rPr>
        <w:t>中心地理坐标为东经114°2</w:t>
      </w:r>
      <w:r>
        <w:rPr>
          <w:rFonts w:hint="eastAsia" w:ascii="仿宋" w:hAnsi="仿宋" w:eastAsia="仿宋" w:cs="仿宋"/>
          <w:sz w:val="32"/>
          <w:szCs w:val="32"/>
          <w:lang w:val="en-US" w:eastAsia="zh-CN"/>
        </w:rPr>
        <w:t>7</w:t>
      </w:r>
      <w:r>
        <w:rPr>
          <w:rFonts w:hint="eastAsia" w:ascii="仿宋" w:hAnsi="仿宋" w:eastAsia="仿宋" w:cs="仿宋"/>
          <w:sz w:val="32"/>
          <w:szCs w:val="32"/>
        </w:rPr>
        <w:t>'</w:t>
      </w:r>
      <w:r>
        <w:rPr>
          <w:rFonts w:hint="eastAsia" w:ascii="仿宋" w:hAnsi="仿宋" w:eastAsia="仿宋" w:cs="仿宋"/>
          <w:sz w:val="32"/>
          <w:szCs w:val="32"/>
          <w:lang w:val="en-US" w:eastAsia="zh-CN"/>
        </w:rPr>
        <w:t>45.654</w:t>
      </w:r>
      <w:r>
        <w:rPr>
          <w:rFonts w:hint="eastAsia" w:ascii="仿宋" w:hAnsi="仿宋" w:eastAsia="仿宋" w:cs="仿宋"/>
          <w:sz w:val="32"/>
          <w:szCs w:val="32"/>
        </w:rPr>
        <w:t>"，</w:t>
      </w:r>
      <w:r>
        <w:rPr>
          <w:rFonts w:hint="eastAsia" w:ascii="仿宋" w:hAnsi="仿宋" w:eastAsia="仿宋" w:cs="仿宋"/>
          <w:sz w:val="32"/>
          <w:szCs w:val="32"/>
          <w:lang w:eastAsia="zh-CN"/>
        </w:rPr>
        <w:t>北纬</w:t>
      </w:r>
      <w:r>
        <w:rPr>
          <w:rFonts w:hint="eastAsia" w:ascii="仿宋" w:hAnsi="仿宋" w:eastAsia="仿宋" w:cs="仿宋"/>
          <w:sz w:val="32"/>
          <w:szCs w:val="32"/>
          <w:lang w:val="en-US" w:eastAsia="zh-CN"/>
        </w:rPr>
        <w:t>38°3′0.755″，</w:t>
      </w:r>
      <w:r>
        <w:rPr>
          <w:rFonts w:hint="eastAsia" w:ascii="仿宋" w:hAnsi="仿宋" w:eastAsia="仿宋" w:cs="仿宋"/>
          <w:sz w:val="32"/>
          <w:szCs w:val="32"/>
        </w:rPr>
        <w:t>总建筑面积为</w:t>
      </w:r>
      <w:r>
        <w:rPr>
          <w:rFonts w:hint="eastAsia" w:ascii="仿宋" w:hAnsi="仿宋" w:eastAsia="仿宋" w:cs="仿宋"/>
          <w:sz w:val="32"/>
          <w:szCs w:val="32"/>
          <w:lang w:val="en-US" w:eastAsia="zh-CN"/>
        </w:rPr>
        <w:t>336.56</w:t>
      </w:r>
      <w:r>
        <w:rPr>
          <w:rFonts w:hint="eastAsia" w:ascii="仿宋" w:hAnsi="仿宋" w:eastAsia="仿宋" w:cs="仿宋"/>
          <w:sz w:val="32"/>
          <w:szCs w:val="32"/>
        </w:rPr>
        <w:t>m</w:t>
      </w:r>
      <w:r>
        <w:rPr>
          <w:rFonts w:hint="eastAsia" w:ascii="仿宋" w:hAnsi="仿宋" w:eastAsia="仿宋" w:cs="仿宋"/>
          <w:sz w:val="32"/>
          <w:szCs w:val="32"/>
          <w:vertAlign w:val="superscript"/>
        </w:rPr>
        <w:t>2</w:t>
      </w:r>
      <w:r>
        <w:rPr>
          <w:rFonts w:hint="eastAsia" w:ascii="仿宋" w:hAnsi="仿宋" w:eastAsia="仿宋" w:cs="仿宋"/>
          <w:sz w:val="32"/>
          <w:szCs w:val="32"/>
        </w:rPr>
        <w:t>。</w:t>
      </w:r>
      <w:r>
        <w:rPr>
          <w:rFonts w:hint="eastAsia" w:ascii="仿宋" w:hAnsi="仿宋" w:eastAsia="仿宋" w:cs="仿宋"/>
          <w:sz w:val="32"/>
          <w:szCs w:val="32"/>
          <w:lang w:eastAsia="zh-CN"/>
        </w:rPr>
        <w:t>项目租用沿街两层商铺，一层为犬诊室，犬候诊区，猫诊室，</w:t>
      </w:r>
      <w:r>
        <w:rPr>
          <w:rFonts w:hint="eastAsia" w:ascii="仿宋" w:hAnsi="仿宋" w:eastAsia="仿宋" w:cs="仿宋"/>
          <w:sz w:val="32"/>
          <w:szCs w:val="32"/>
          <w:lang w:val="en-US" w:eastAsia="zh-CN"/>
        </w:rPr>
        <w:t>B超室，中央处置区，化验室，手术准备区，手术室；二层为值班室，犬住院，犬隔离室，医废室，猫隔离室，猫住院等。</w:t>
      </w:r>
      <w:r>
        <w:rPr>
          <w:rFonts w:hint="eastAsia" w:ascii="仿宋" w:hAnsi="仿宋" w:eastAsia="仿宋" w:cs="仿宋"/>
          <w:sz w:val="32"/>
          <w:szCs w:val="32"/>
        </w:rPr>
        <w:t>宠物流</w:t>
      </w:r>
      <w:bookmarkStart w:id="0" w:name="_GoBack"/>
      <w:bookmarkEnd w:id="0"/>
      <w:r>
        <w:rPr>
          <w:rFonts w:hint="eastAsia" w:ascii="仿宋" w:hAnsi="仿宋" w:eastAsia="仿宋" w:cs="仿宋"/>
          <w:sz w:val="32"/>
          <w:szCs w:val="32"/>
        </w:rPr>
        <w:t>量</w:t>
      </w:r>
      <w:r>
        <w:rPr>
          <w:rFonts w:hint="eastAsia" w:ascii="仿宋" w:hAnsi="仿宋" w:eastAsia="仿宋" w:cs="仿宋"/>
          <w:sz w:val="32"/>
          <w:szCs w:val="32"/>
          <w:lang w:val="en-US" w:eastAsia="zh-CN"/>
        </w:rPr>
        <w:t>10</w:t>
      </w:r>
      <w:r>
        <w:rPr>
          <w:rFonts w:hint="eastAsia" w:ascii="仿宋" w:hAnsi="仿宋" w:eastAsia="仿宋" w:cs="仿宋"/>
          <w:sz w:val="32"/>
          <w:szCs w:val="32"/>
        </w:rPr>
        <w:t>只/</w:t>
      </w:r>
      <w:r>
        <w:rPr>
          <w:rFonts w:hint="eastAsia" w:ascii="仿宋" w:hAnsi="仿宋" w:eastAsia="仿宋" w:cs="仿宋"/>
          <w:sz w:val="32"/>
          <w:szCs w:val="32"/>
          <w:lang w:eastAsia="zh-CN"/>
        </w:rPr>
        <w:t>天</w:t>
      </w:r>
      <w:r>
        <w:rPr>
          <w:rFonts w:hint="eastAsia" w:ascii="仿宋" w:hAnsi="仿宋" w:eastAsia="仿宋" w:cs="仿宋"/>
          <w:sz w:val="32"/>
          <w:szCs w:val="32"/>
        </w:rPr>
        <w:t>，</w:t>
      </w:r>
      <w:r>
        <w:rPr>
          <w:rFonts w:hint="eastAsia" w:ascii="仿宋" w:hAnsi="仿宋" w:eastAsia="仿宋" w:cs="仿宋"/>
          <w:sz w:val="32"/>
          <w:szCs w:val="32"/>
          <w:lang w:eastAsia="zh-CN"/>
        </w:rPr>
        <w:t>中央处治室诊疗流量</w:t>
      </w:r>
      <w:r>
        <w:rPr>
          <w:rFonts w:hint="eastAsia" w:ascii="仿宋" w:hAnsi="仿宋" w:eastAsia="仿宋" w:cs="仿宋"/>
          <w:sz w:val="32"/>
          <w:szCs w:val="32"/>
          <w:lang w:val="en-US" w:eastAsia="zh-CN"/>
        </w:rPr>
        <w:t>1只/天、宠物住院流量4只/月，宠物手术流量8只/月，人员客流量16人/天。</w:t>
      </w:r>
      <w:r>
        <w:rPr>
          <w:rFonts w:hint="eastAsia" w:ascii="仿宋" w:hAnsi="仿宋" w:eastAsia="仿宋" w:cs="仿宋"/>
          <w:sz w:val="32"/>
          <w:szCs w:val="32"/>
        </w:rPr>
        <w:t xml:space="preserve">项目劳动定员 </w:t>
      </w:r>
      <w:r>
        <w:rPr>
          <w:rFonts w:hint="eastAsia" w:ascii="仿宋" w:hAnsi="仿宋" w:eastAsia="仿宋" w:cs="仿宋"/>
          <w:sz w:val="32"/>
          <w:szCs w:val="32"/>
          <w:lang w:val="en-US" w:eastAsia="zh-CN"/>
        </w:rPr>
        <w:t>7</w:t>
      </w:r>
      <w:r>
        <w:rPr>
          <w:rFonts w:hint="eastAsia" w:ascii="仿宋" w:hAnsi="仿宋" w:eastAsia="仿宋" w:cs="仿宋"/>
          <w:sz w:val="32"/>
          <w:szCs w:val="32"/>
        </w:rPr>
        <w:t xml:space="preserve"> 人，</w:t>
      </w:r>
      <w:r>
        <w:rPr>
          <w:rFonts w:hint="eastAsia" w:ascii="仿宋" w:hAnsi="仿宋" w:eastAsia="仿宋" w:cs="仿宋"/>
          <w:sz w:val="32"/>
          <w:szCs w:val="32"/>
          <w:lang w:eastAsia="zh-CN"/>
        </w:rPr>
        <w:t>每天工作</w:t>
      </w:r>
      <w:r>
        <w:rPr>
          <w:rFonts w:hint="eastAsia" w:ascii="仿宋" w:hAnsi="仿宋" w:eastAsia="仿宋" w:cs="仿宋"/>
          <w:sz w:val="32"/>
          <w:szCs w:val="32"/>
        </w:rPr>
        <w:t>8小时，年工作365天。</w:t>
      </w:r>
    </w:p>
    <w:p>
      <w:pPr>
        <w:spacing w:line="4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工程投资：项目总投资</w:t>
      </w:r>
      <w:r>
        <w:rPr>
          <w:rFonts w:hint="eastAsia" w:ascii="仿宋" w:hAnsi="仿宋" w:eastAsia="仿宋" w:cs="仿宋"/>
          <w:sz w:val="32"/>
          <w:szCs w:val="32"/>
          <w:lang w:val="en-US" w:eastAsia="zh-CN"/>
        </w:rPr>
        <w:t>7</w:t>
      </w:r>
      <w:r>
        <w:rPr>
          <w:rFonts w:hint="eastAsia" w:ascii="仿宋" w:hAnsi="仿宋" w:eastAsia="仿宋" w:cs="仿宋"/>
          <w:sz w:val="32"/>
          <w:szCs w:val="32"/>
        </w:rPr>
        <w:t>0万元，其中环保投资</w:t>
      </w:r>
      <w:r>
        <w:rPr>
          <w:rFonts w:hint="eastAsia" w:ascii="仿宋" w:hAnsi="仿宋" w:eastAsia="仿宋" w:cs="仿宋"/>
          <w:sz w:val="32"/>
          <w:szCs w:val="32"/>
          <w:lang w:val="en-US" w:eastAsia="zh-CN"/>
        </w:rPr>
        <w:t>2</w:t>
      </w:r>
      <w:r>
        <w:rPr>
          <w:rFonts w:hint="eastAsia" w:ascii="仿宋" w:hAnsi="仿宋" w:eastAsia="仿宋" w:cs="仿宋"/>
          <w:sz w:val="32"/>
          <w:szCs w:val="32"/>
        </w:rPr>
        <w:t>万元，环保投资占比</w:t>
      </w:r>
      <w:r>
        <w:rPr>
          <w:rFonts w:hint="eastAsia" w:ascii="仿宋" w:hAnsi="仿宋" w:eastAsia="仿宋" w:cs="仿宋"/>
          <w:sz w:val="32"/>
          <w:szCs w:val="32"/>
          <w:lang w:val="en-US" w:eastAsia="zh-CN"/>
        </w:rPr>
        <w:t>2.85</w:t>
      </w:r>
      <w:r>
        <w:rPr>
          <w:rFonts w:hint="eastAsia" w:ascii="仿宋" w:hAnsi="仿宋" w:eastAsia="仿宋" w:cs="仿宋"/>
          <w:sz w:val="32"/>
          <w:szCs w:val="32"/>
        </w:rPr>
        <w:t>%。</w:t>
      </w:r>
    </w:p>
    <w:p>
      <w:pPr>
        <w:widowControl/>
        <w:autoSpaceDE w:val="0"/>
        <w:spacing w:line="420" w:lineRule="exact"/>
        <w:ind w:firstLine="640" w:firstLineChars="200"/>
        <w:jc w:val="left"/>
        <w:rPr>
          <w:rFonts w:hint="eastAsia" w:ascii="仿宋" w:hAnsi="仿宋" w:eastAsia="仿宋" w:cs="仿宋"/>
          <w:sz w:val="32"/>
          <w:szCs w:val="32"/>
        </w:rPr>
      </w:pPr>
      <w:r>
        <w:rPr>
          <w:rFonts w:hint="eastAsia" w:ascii="仿宋" w:hAnsi="仿宋" w:eastAsia="仿宋" w:cs="仿宋"/>
          <w:kern w:val="0"/>
          <w:sz w:val="32"/>
          <w:szCs w:val="32"/>
          <w:shd w:val="clear" w:color="auto" w:fill="FFFFFF"/>
          <w:lang w:bidi="ar"/>
        </w:rPr>
        <w:t>二、主要环境影响及预防或者减轻不良环境影响的对策和措施:</w:t>
      </w:r>
    </w:p>
    <w:p>
      <w:pPr>
        <w:widowControl/>
        <w:autoSpaceDE w:val="0"/>
        <w:snapToGrid w:val="0"/>
        <w:spacing w:line="440" w:lineRule="exact"/>
        <w:ind w:firstLine="640"/>
        <w:jc w:val="left"/>
        <w:rPr>
          <w:rFonts w:hint="eastAsia" w:ascii="仿宋" w:hAnsi="仿宋" w:eastAsia="仿宋" w:cs="仿宋"/>
          <w:kern w:val="0"/>
          <w:sz w:val="32"/>
          <w:szCs w:val="32"/>
          <w:lang w:bidi="ar"/>
        </w:rPr>
      </w:pPr>
      <w:r>
        <w:rPr>
          <w:rFonts w:hint="eastAsia" w:ascii="仿宋" w:hAnsi="仿宋" w:eastAsia="仿宋" w:cs="仿宋"/>
          <w:kern w:val="0"/>
          <w:sz w:val="32"/>
          <w:szCs w:val="32"/>
          <w:lang w:bidi="ar"/>
        </w:rPr>
        <w:t>1、废气</w:t>
      </w:r>
    </w:p>
    <w:p>
      <w:pPr>
        <w:widowControl/>
        <w:autoSpaceDE w:val="0"/>
        <w:snapToGrid w:val="0"/>
        <w:spacing w:line="440" w:lineRule="exact"/>
        <w:ind w:firstLine="640"/>
        <w:jc w:val="left"/>
        <w:rPr>
          <w:rFonts w:hint="eastAsia" w:ascii="仿宋" w:hAnsi="仿宋" w:eastAsia="仿宋" w:cs="仿宋"/>
          <w:kern w:val="0"/>
          <w:sz w:val="32"/>
          <w:szCs w:val="32"/>
          <w:lang w:bidi="ar"/>
        </w:rPr>
      </w:pPr>
      <w:r>
        <w:rPr>
          <w:rFonts w:hint="eastAsia" w:ascii="仿宋" w:hAnsi="仿宋" w:eastAsia="仿宋" w:cs="仿宋"/>
          <w:kern w:val="0"/>
          <w:sz w:val="32"/>
          <w:szCs w:val="32"/>
          <w:lang w:bidi="ar"/>
        </w:rPr>
        <w:t>笼舍区域产生的粪便及时清运，同时喷洒空气清新剂、酒精消毒等措施，手术室设置空气净化器（活性炭吸附）处理后通过专用烟道排放</w:t>
      </w:r>
      <w:r>
        <w:rPr>
          <w:rFonts w:hint="eastAsia" w:ascii="仿宋" w:hAnsi="仿宋" w:eastAsia="仿宋" w:cs="仿宋"/>
          <w:kern w:val="0"/>
          <w:sz w:val="32"/>
          <w:szCs w:val="32"/>
          <w:lang w:eastAsia="zh-CN" w:bidi="ar"/>
        </w:rPr>
        <w:t>，</w:t>
      </w:r>
      <w:r>
        <w:rPr>
          <w:rFonts w:hint="eastAsia" w:ascii="仿宋" w:hAnsi="仿宋" w:eastAsia="仿宋" w:cs="仿宋"/>
          <w:kern w:val="0"/>
          <w:sz w:val="32"/>
          <w:szCs w:val="32"/>
          <w:lang w:bidi="ar"/>
        </w:rPr>
        <w:t>医疗废物储存采取加盖密封措施。项目无组织排放须满足《恶臭污染物排放标准》（GB 14554-93）表 1 恶臭污染物排放标准值二级新扩改建标准。污水处理设施周边硫化氢</w:t>
      </w:r>
      <w:r>
        <w:rPr>
          <w:rFonts w:hint="eastAsia" w:ascii="仿宋" w:hAnsi="仿宋" w:eastAsia="仿宋" w:cs="仿宋"/>
          <w:kern w:val="0"/>
          <w:sz w:val="32"/>
          <w:szCs w:val="32"/>
          <w:lang w:eastAsia="zh-CN" w:bidi="ar"/>
        </w:rPr>
        <w:t>、</w:t>
      </w:r>
      <w:r>
        <w:rPr>
          <w:rFonts w:hint="eastAsia" w:ascii="仿宋" w:hAnsi="仿宋" w:eastAsia="仿宋" w:cs="仿宋"/>
          <w:kern w:val="0"/>
          <w:sz w:val="32"/>
          <w:szCs w:val="32"/>
          <w:lang w:bidi="ar"/>
        </w:rPr>
        <w:t>氨气、臭气浓度须满足《医疗机构水污染物排放标准》（GB18466-2005）表 3 污水处理站周边大气污染物最高允许浓度标准。</w:t>
      </w:r>
    </w:p>
    <w:p>
      <w:pPr>
        <w:widowControl/>
        <w:autoSpaceDE w:val="0"/>
        <w:snapToGrid w:val="0"/>
        <w:spacing w:line="440" w:lineRule="exact"/>
        <w:ind w:firstLine="640"/>
        <w:jc w:val="left"/>
        <w:rPr>
          <w:rFonts w:hint="eastAsia" w:ascii="仿宋" w:hAnsi="仿宋" w:eastAsia="仿宋" w:cs="仿宋"/>
          <w:sz w:val="32"/>
          <w:szCs w:val="32"/>
          <w:lang w:val="en-US" w:eastAsia="zh-CN"/>
        </w:rPr>
      </w:pPr>
      <w:r>
        <w:rPr>
          <w:rFonts w:hint="eastAsia" w:ascii="仿宋" w:hAnsi="仿宋" w:eastAsia="仿宋" w:cs="仿宋"/>
          <w:kern w:val="0"/>
          <w:sz w:val="32"/>
          <w:szCs w:val="32"/>
          <w:lang w:bidi="ar"/>
        </w:rPr>
        <w:t>2、废水</w:t>
      </w:r>
    </w:p>
    <w:p>
      <w:pPr>
        <w:widowControl/>
        <w:autoSpaceDE w:val="0"/>
        <w:spacing w:line="420" w:lineRule="exact"/>
        <w:ind w:firstLine="641"/>
        <w:rPr>
          <w:rFonts w:hint="eastAsia" w:ascii="仿宋" w:hAnsi="仿宋" w:eastAsia="仿宋" w:cs="仿宋"/>
          <w:kern w:val="0"/>
          <w:sz w:val="32"/>
          <w:szCs w:val="32"/>
          <w:lang w:bidi="ar"/>
        </w:rPr>
      </w:pPr>
      <w:r>
        <w:rPr>
          <w:rFonts w:hint="eastAsia" w:ascii="仿宋" w:hAnsi="仿宋" w:eastAsia="仿宋" w:cs="仿宋"/>
          <w:kern w:val="0"/>
          <w:sz w:val="32"/>
          <w:szCs w:val="32"/>
          <w:lang w:bidi="ar"/>
        </w:rPr>
        <w:t>生活污水、员工洗衣废水经污水处理设施TA001处理，猫住院废水、犬住院废水、术前准备废水、猫诊疗废水、犬诊疗废水、中央处治室废水经污水处理设施TA002处理，废水采用“过滤+单过硫酸氢钾复合盐消毒”处理，排入石家庄污水处理有限公司桥西污水处理厂</w:t>
      </w:r>
      <w:r>
        <w:rPr>
          <w:rFonts w:hint="eastAsia" w:ascii="仿宋" w:hAnsi="仿宋" w:eastAsia="仿宋" w:cs="仿宋"/>
          <w:kern w:val="0"/>
          <w:sz w:val="32"/>
          <w:szCs w:val="32"/>
          <w:lang w:eastAsia="zh-CN" w:bidi="ar"/>
        </w:rPr>
        <w:t>。</w:t>
      </w:r>
      <w:r>
        <w:rPr>
          <w:rFonts w:hint="eastAsia" w:ascii="仿宋" w:hAnsi="仿宋" w:eastAsia="仿宋" w:cs="仿宋"/>
          <w:kern w:val="0"/>
          <w:sz w:val="32"/>
          <w:szCs w:val="32"/>
          <w:lang w:bidi="ar"/>
        </w:rPr>
        <w:t>外排废水须满足《医疗机构水污染物排放标准》（GB 18466-2005）中表 2预处理排放标准和石家庄污水处理有限公司桥西污水处理厂进水水质要求。</w:t>
      </w:r>
    </w:p>
    <w:p>
      <w:pPr>
        <w:widowControl/>
        <w:autoSpaceDE w:val="0"/>
        <w:spacing w:line="420" w:lineRule="exact"/>
        <w:ind w:firstLine="641"/>
        <w:rPr>
          <w:rFonts w:hint="eastAsia" w:ascii="仿宋" w:hAnsi="仿宋" w:eastAsia="仿宋" w:cs="仿宋"/>
          <w:sz w:val="32"/>
          <w:szCs w:val="32"/>
        </w:rPr>
      </w:pPr>
      <w:r>
        <w:rPr>
          <w:rFonts w:hint="eastAsia" w:ascii="仿宋" w:hAnsi="仿宋" w:eastAsia="仿宋" w:cs="仿宋"/>
          <w:kern w:val="0"/>
          <w:sz w:val="32"/>
          <w:szCs w:val="32"/>
          <w:lang w:bidi="ar"/>
        </w:rPr>
        <w:t>3、噪声</w:t>
      </w:r>
    </w:p>
    <w:p>
      <w:pPr>
        <w:spacing w:line="4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项目通过设置隔声门窗，采取低噪声设备，墙体采取吸声隔声材料等措施，噪声经距离衰减，再经墙体衰减后厂界噪声满足须满足《工业企业厂界环境噪声排放标准》（GB12348-2008）表1中1类标准要求。</w:t>
      </w:r>
    </w:p>
    <w:p>
      <w:pPr>
        <w:widowControl/>
        <w:autoSpaceDE w:val="0"/>
        <w:spacing w:line="440" w:lineRule="exact"/>
        <w:ind w:firstLine="640"/>
        <w:jc w:val="left"/>
        <w:rPr>
          <w:rFonts w:hint="eastAsia" w:ascii="仿宋" w:hAnsi="仿宋" w:eastAsia="仿宋" w:cs="仿宋"/>
          <w:sz w:val="32"/>
          <w:szCs w:val="32"/>
        </w:rPr>
      </w:pPr>
      <w:r>
        <w:rPr>
          <w:rFonts w:hint="eastAsia" w:ascii="仿宋" w:hAnsi="仿宋" w:eastAsia="仿宋" w:cs="仿宋"/>
          <w:kern w:val="0"/>
          <w:sz w:val="32"/>
          <w:szCs w:val="32"/>
          <w:lang w:bidi="ar"/>
        </w:rPr>
        <w:t>4、固废</w:t>
      </w:r>
    </w:p>
    <w:p>
      <w:pPr>
        <w:spacing w:line="4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（1）一般固废</w:t>
      </w:r>
    </w:p>
    <w:p>
      <w:pPr>
        <w:spacing w:line="4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动物粪便、废尿垫、废猫砂及时清理，置于密闭容器存放至一般固废存放点，交给环卫部门处理。</w:t>
      </w:r>
    </w:p>
    <w:p>
      <w:pPr>
        <w:spacing w:line="4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（2）危险废物</w:t>
      </w:r>
    </w:p>
    <w:p>
      <w:pPr>
        <w:spacing w:line="4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主要有动物诊疗过程中产生的医疗废物，空气清新器活性炭净化器更换下的废活性炭等，在危废间暂存，定期交由有资质单位处置。 </w:t>
      </w:r>
    </w:p>
    <w:p>
      <w:pPr>
        <w:spacing w:line="4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（3）生活垃圾</w:t>
      </w:r>
    </w:p>
    <w:p>
      <w:pPr>
        <w:spacing w:line="4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集中收集后定期由环卫部门统一处理。</w:t>
      </w:r>
    </w:p>
    <w:p>
      <w:pPr>
        <w:spacing w:line="4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三、污染物排放量控制指标以“河北省建设项目主要污染物总量指标确认书”的审核意见和总量交易意见为准。</w:t>
      </w:r>
    </w:p>
    <w:p>
      <w:pPr>
        <w:spacing w:line="4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四、严格落实环境风险防范措施，完善环境应急预案；设计安全生产问题，要按安全生产监督管理部门要求做好风险源管理和安全生产，确保事故情况下环境安全。</w:t>
      </w:r>
    </w:p>
    <w:p>
      <w:pPr>
        <w:spacing w:line="4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五、本项目环评文件经批准后，建设项目的性质、规模、地点、采用的生产工艺或者防治污染的措施发生重大变动的，建设单位应当重新报批环评文件。</w:t>
      </w:r>
    </w:p>
    <w:p>
      <w:pPr>
        <w:spacing w:line="4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六、项目建设应严格执行“三同时”管理制度，定期向生态环境部门报告“三同时”完成情况。建设单位应当在项目竣工后，按照排污许可的要求办理相关许可（或登记）后，方可实行排污；应按照规定的标准和程序，组织项目竣工环境保护验收，编制验收报告，验收合格后，方可正式投入运营，并依法依规向社会公开，接受群众监督。</w:t>
      </w:r>
    </w:p>
    <w:p>
      <w:pPr>
        <w:pStyle w:val="4"/>
        <w:spacing w:line="420" w:lineRule="exact"/>
        <w:rPr>
          <w:rFonts w:hint="eastAsia" w:ascii="仿宋" w:hAnsi="仿宋" w:eastAsia="仿宋" w:cs="仿宋"/>
          <w:sz w:val="32"/>
          <w:szCs w:val="32"/>
        </w:rPr>
      </w:pPr>
      <w:r>
        <w:rPr>
          <w:rFonts w:hint="eastAsia" w:ascii="仿宋" w:hAnsi="仿宋" w:eastAsia="仿宋" w:cs="仿宋"/>
          <w:sz w:val="32"/>
          <w:szCs w:val="32"/>
        </w:rPr>
        <w:t>七、依据环保部《关于印发建设项目环境保护事中事后监督管理办法（试行）的通知》（环发[2015]183号）要求，该项目的日常监督管理工作由属地环境保护部门负责。</w:t>
      </w:r>
    </w:p>
    <w:p>
      <w:pPr>
        <w:spacing w:line="4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八、此文一式四份，区</w:t>
      </w:r>
      <w:r>
        <w:rPr>
          <w:rFonts w:hint="eastAsia" w:ascii="仿宋" w:hAnsi="仿宋" w:eastAsia="仿宋" w:cs="仿宋"/>
          <w:sz w:val="32"/>
          <w:szCs w:val="32"/>
          <w:lang w:val="en-US" w:eastAsia="zh-CN"/>
        </w:rPr>
        <w:t>数据和政务服务局</w:t>
      </w:r>
      <w:r>
        <w:rPr>
          <w:rFonts w:hint="eastAsia" w:ascii="仿宋" w:hAnsi="仿宋" w:eastAsia="仿宋" w:cs="仿宋"/>
          <w:sz w:val="32"/>
          <w:szCs w:val="32"/>
        </w:rPr>
        <w:t xml:space="preserve">一份，建设单位三份。   </w:t>
      </w:r>
    </w:p>
    <w:p>
      <w:pPr>
        <w:spacing w:line="440" w:lineRule="exact"/>
        <w:rPr>
          <w:rFonts w:hint="eastAsia" w:ascii="仿宋" w:hAnsi="仿宋" w:eastAsia="仿宋" w:cs="仿宋"/>
          <w:sz w:val="32"/>
          <w:szCs w:val="32"/>
        </w:rPr>
      </w:pPr>
    </w:p>
    <w:p>
      <w:pPr>
        <w:spacing w:line="440" w:lineRule="exact"/>
        <w:jc w:val="right"/>
        <w:rPr>
          <w:rFonts w:hint="eastAsia" w:ascii="仿宋" w:hAnsi="仿宋" w:eastAsia="仿宋" w:cs="仿宋"/>
          <w:sz w:val="32"/>
          <w:szCs w:val="32"/>
        </w:rPr>
      </w:pPr>
      <w:r>
        <w:rPr>
          <w:rFonts w:hint="eastAsia" w:ascii="仿宋" w:hAnsi="仿宋" w:eastAsia="仿宋" w:cs="仿宋"/>
          <w:sz w:val="32"/>
          <w:szCs w:val="32"/>
        </w:rPr>
        <w:t>石家庄市新华区</w:t>
      </w:r>
      <w:r>
        <w:rPr>
          <w:rFonts w:hint="eastAsia" w:ascii="仿宋" w:hAnsi="仿宋" w:eastAsia="仿宋" w:cs="仿宋"/>
          <w:sz w:val="32"/>
          <w:szCs w:val="32"/>
          <w:lang w:val="en-US" w:eastAsia="zh-CN"/>
        </w:rPr>
        <w:t>数据和政务服务</w:t>
      </w:r>
      <w:r>
        <w:rPr>
          <w:rFonts w:hint="eastAsia" w:ascii="仿宋" w:hAnsi="仿宋" w:eastAsia="仿宋" w:cs="仿宋"/>
          <w:sz w:val="32"/>
          <w:szCs w:val="32"/>
        </w:rPr>
        <w:t>局</w:t>
      </w:r>
    </w:p>
    <w:p>
      <w:pPr>
        <w:spacing w:line="440" w:lineRule="exact"/>
        <w:jc w:val="center"/>
        <w:rPr>
          <w:rFonts w:hint="eastAsia" w:ascii="仿宋" w:hAnsi="仿宋" w:eastAsia="仿宋" w:cs="仿宋"/>
          <w:sz w:val="32"/>
          <w:szCs w:val="32"/>
        </w:rPr>
      </w:pPr>
      <w:r>
        <w:rPr>
          <w:rFonts w:hint="eastAsia" w:ascii="仿宋" w:hAnsi="仿宋" w:eastAsia="仿宋" w:cs="仿宋"/>
          <w:sz w:val="32"/>
          <w:szCs w:val="32"/>
        </w:rPr>
        <w:t xml:space="preserve">                                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8</w:t>
      </w:r>
      <w:r>
        <w:rPr>
          <w:rFonts w:hint="eastAsia" w:ascii="仿宋" w:hAnsi="仿宋" w:eastAsia="仿宋" w:cs="仿宋"/>
          <w:sz w:val="32"/>
          <w:szCs w:val="32"/>
        </w:rPr>
        <w:t>月</w:t>
      </w:r>
      <w:r>
        <w:rPr>
          <w:rFonts w:hint="eastAsia" w:ascii="仿宋" w:hAnsi="仿宋" w:eastAsia="仿宋" w:cs="仿宋"/>
          <w:sz w:val="32"/>
          <w:szCs w:val="32"/>
          <w:lang w:val="en-US" w:eastAsia="zh-CN"/>
        </w:rPr>
        <w:t>24</w:t>
      </w:r>
      <w:r>
        <w:rPr>
          <w:rFonts w:hint="eastAsia" w:ascii="仿宋" w:hAnsi="仿宋" w:eastAsia="仿宋" w:cs="仿宋"/>
          <w:sz w:val="32"/>
          <w:szCs w:val="32"/>
        </w:rPr>
        <w:t>日</w:t>
      </w:r>
    </w:p>
    <w:p>
      <w:pPr>
        <w:pStyle w:val="4"/>
        <w:rPr>
          <w:rFonts w:hint="eastAsia" w:ascii="仿宋_GB2312" w:hAnsi="仿宋" w:eastAsia="仿宋_GB2312"/>
          <w:color w:val="auto"/>
          <w:sz w:val="32"/>
          <w:szCs w:val="32"/>
          <w:lang w:eastAsia="zh-CN"/>
        </w:rPr>
      </w:pPr>
    </w:p>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12778C"/>
    <w:multiLevelType w:val="singleLevel"/>
    <w:tmpl w:val="1E12778C"/>
    <w:lvl w:ilvl="0" w:tentative="0">
      <w:start w:val="1"/>
      <w:numFmt w:val="bullet"/>
      <w:pStyle w:val="6"/>
      <w:lvlText w:val=""/>
      <w:lvlJc w:val="left"/>
      <w:pPr>
        <w:tabs>
          <w:tab w:val="left" w:pos="2040"/>
        </w:tabs>
        <w:ind w:left="2040" w:hanging="360"/>
      </w:pPr>
      <w:rPr>
        <w:rFonts w:hint="default" w:ascii="Wingdings" w:hAnsi="Wingdings"/>
      </w:rPr>
    </w:lvl>
  </w:abstractNum>
  <w:abstractNum w:abstractNumId="1">
    <w:nsid w:val="68657A71"/>
    <w:multiLevelType w:val="singleLevel"/>
    <w:tmpl w:val="68657A71"/>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883051"/>
    <w:rsid w:val="3B8830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4"/>
    <w:basedOn w:val="1"/>
    <w:next w:val="1"/>
    <w:qFormat/>
    <w:uiPriority w:val="0"/>
    <w:pPr>
      <w:keepNext/>
      <w:keepLines/>
      <w:spacing w:before="280" w:after="290" w:line="376" w:lineRule="auto"/>
      <w:outlineLvl w:val="3"/>
    </w:pPr>
    <w:rPr>
      <w:rFonts w:ascii="Arial" w:hAnsi="Arial" w:eastAsia="黑体"/>
      <w:b/>
      <w:bCs/>
      <w:snapToGrid w:val="0"/>
      <w:sz w:val="28"/>
      <w:szCs w:val="28"/>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customStyle="1" w:styleId="2">
    <w:name w:val="_Style 1"/>
    <w:qFormat/>
    <w:uiPriority w:val="99"/>
    <w:pPr>
      <w:widowControl w:val="0"/>
      <w:jc w:val="both"/>
    </w:pPr>
    <w:rPr>
      <w:rFonts w:ascii="宋体" w:hAnsi="Times New Roman" w:eastAsia="宋体" w:cs="宋体"/>
      <w:kern w:val="2"/>
      <w:sz w:val="32"/>
      <w:szCs w:val="32"/>
      <w:lang w:val="en-US" w:eastAsia="zh-CN" w:bidi="ar-SA"/>
    </w:rPr>
  </w:style>
  <w:style w:type="paragraph" w:styleId="4">
    <w:name w:val="Normal Indent"/>
    <w:basedOn w:val="1"/>
    <w:next w:val="3"/>
    <w:qFormat/>
    <w:uiPriority w:val="0"/>
    <w:pPr>
      <w:adjustRightInd w:val="0"/>
      <w:spacing w:line="360" w:lineRule="atLeast"/>
      <w:ind w:firstLine="420"/>
      <w:jc w:val="left"/>
      <w:textAlignment w:val="baseline"/>
    </w:pPr>
    <w:rPr>
      <w:kern w:val="0"/>
      <w:sz w:val="25"/>
      <w:szCs w:val="20"/>
    </w:rPr>
  </w:style>
  <w:style w:type="paragraph" w:styleId="5">
    <w:name w:val="Body Text"/>
    <w:basedOn w:val="1"/>
    <w:next w:val="6"/>
    <w:qFormat/>
    <w:uiPriority w:val="0"/>
    <w:pPr>
      <w:widowControl/>
      <w:snapToGrid w:val="0"/>
      <w:spacing w:before="60" w:after="160" w:line="259" w:lineRule="auto"/>
      <w:ind w:right="113"/>
    </w:pPr>
    <w:rPr>
      <w:kern w:val="0"/>
      <w:sz w:val="18"/>
      <w:szCs w:val="20"/>
    </w:rPr>
  </w:style>
  <w:style w:type="paragraph" w:styleId="6">
    <w:name w:val="List Bullet 5"/>
    <w:basedOn w:val="1"/>
    <w:uiPriority w:val="0"/>
    <w:pPr>
      <w:numPr>
        <w:ilvl w:val="0"/>
        <w:numId w:val="1"/>
      </w:numPr>
    </w:pPr>
  </w:style>
  <w:style w:type="paragraph" w:styleId="7">
    <w:name w:val="Normal (Web)"/>
    <w:basedOn w:val="1"/>
    <w:next w:val="1"/>
    <w:qFormat/>
    <w:uiPriority w:val="0"/>
    <w:pPr>
      <w:widowControl/>
      <w:spacing w:before="100" w:beforeAutospacing="1" w:after="100" w:afterAutospacing="1"/>
      <w:jc w:val="left"/>
    </w:pPr>
    <w:rPr>
      <w:rFonts w:ascii="宋体" w:hAnsi="宋体"/>
      <w:kern w:val="0"/>
      <w:sz w:val="24"/>
      <w:szCs w:val="20"/>
    </w:rPr>
  </w:style>
  <w:style w:type="character" w:styleId="10">
    <w:name w:val="Strong"/>
    <w:qFormat/>
    <w:uiPriority w:val="0"/>
    <w:rPr>
      <w:rFonts w:ascii="宋体" w:hAnsi="宋体" w:eastAsia="仿宋_GB2312"/>
      <w:b/>
      <w:color w:val="000000"/>
      <w:kern w:val="0"/>
      <w:sz w:val="16"/>
      <w:szCs w:val="0"/>
      <w:lang w:eastAsia="en-US"/>
    </w:rPr>
  </w:style>
  <w:style w:type="paragraph" w:customStyle="1" w:styleId="11">
    <w:name w:val="样式 样式 样式 四号 左侧:  1.53 厘米 + 首行缩进:  2 字符 + 居中 左侧:  2 字符 首行缩进:  2..."/>
    <w:basedOn w:val="12"/>
    <w:qFormat/>
    <w:uiPriority w:val="0"/>
    <w:pPr>
      <w:jc w:val="center"/>
    </w:pPr>
  </w:style>
  <w:style w:type="paragraph" w:customStyle="1" w:styleId="12">
    <w:name w:val="样式 样式 四号 左侧:  1.53 厘米 + 首行缩进:  2 字符"/>
    <w:basedOn w:val="13"/>
    <w:qFormat/>
    <w:uiPriority w:val="0"/>
    <w:pPr>
      <w:ind w:left="200" w:leftChars="200"/>
    </w:pPr>
    <w:rPr>
      <w:szCs w:val="20"/>
    </w:rPr>
  </w:style>
  <w:style w:type="paragraph" w:customStyle="1" w:styleId="13">
    <w:name w:val="样式 四号 左侧:  1.53 厘米"/>
    <w:basedOn w:val="1"/>
    <w:qFormat/>
    <w:uiPriority w:val="0"/>
    <w:pPr>
      <w:adjustRightInd w:val="0"/>
    </w:pPr>
    <w:rPr>
      <w:w w:val="90"/>
      <w:sz w:val="28"/>
      <w:szCs w:val="28"/>
    </w:rPr>
  </w:style>
  <w:style w:type="paragraph" w:customStyle="1" w:styleId="14">
    <w:name w:val="样式 正文文本 + 首行缩进:  2 字符"/>
    <w:basedOn w:val="5"/>
    <w:qFormat/>
    <w:uiPriority w:val="0"/>
    <w:pPr>
      <w:widowControl w:val="0"/>
      <w:snapToGrid/>
      <w:spacing w:before="0" w:after="0" w:line="500" w:lineRule="atLeast"/>
      <w:ind w:right="0" w:firstLine="200" w:firstLineChars="200"/>
    </w:pPr>
    <w:rPr>
      <w:sz w:val="28"/>
    </w:rPr>
  </w:style>
  <w:style w:type="paragraph" w:customStyle="1" w:styleId="15">
    <w:name w:val="表"/>
    <w:qFormat/>
    <w:uiPriority w:val="0"/>
    <w:pPr>
      <w:spacing w:line="440" w:lineRule="exact"/>
      <w:ind w:firstLine="200" w:firstLineChars="200"/>
      <w:jc w:val="both"/>
    </w:pPr>
    <w:rPr>
      <w:rFonts w:ascii="Calibri" w:hAnsi="Calibri"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143</TotalTime>
  <ScaleCrop>false</ScaleCrop>
  <LinksUpToDate>false</LinksUpToDate>
  <CharactersWithSpaces>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2026-08-21T06:42:00Z</dcterms:created>
  <dc:creator>ff8080817b32bbe8017b33216f0b11c9</dc:creator>
  <cp:lastModifiedBy>ff8080817b32bbe8017b33216f0b11c9</cp:lastModifiedBy>
  <dcterms:modified xsi:type="dcterms:W3CDTF">2026-08-21T09:35:14Z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E2DB84BBD57C4EB1AA48594958ED00CC</vt:lpwstr>
  </property>
</Properties>
</file>