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240" w:lineRule="auto"/>
        <w:jc w:val="center"/>
        <w:textAlignment w:val="auto"/>
        <w:outlineLvl w:val="0"/>
        <w:rPr>
          <w:rFonts w:hint="eastAsia" w:ascii="方正小标宋简体" w:hAnsi="方正小标宋简体" w:eastAsia="方正小标宋简体" w:cs="方正小标宋简体"/>
          <w:b w:val="0"/>
          <w:bCs w:val="0"/>
          <w:color w:val="auto"/>
          <w:sz w:val="44"/>
          <w:szCs w:val="44"/>
          <w:highlight w:val="none"/>
          <w:shd w:val="clear" w:color="auto" w:fill="auto"/>
        </w:rPr>
      </w:pPr>
      <w:bookmarkStart w:id="0" w:name="zhengwen"/>
      <w:r>
        <w:rPr>
          <w:rFonts w:hint="eastAsia" w:ascii="方正小标宋简体" w:hAnsi="方正小标宋简体" w:eastAsia="方正小标宋简体" w:cs="方正小标宋简体"/>
          <w:b w:val="0"/>
          <w:bCs w:val="0"/>
          <w:color w:val="auto"/>
          <w:sz w:val="44"/>
          <w:szCs w:val="44"/>
          <w:highlight w:val="none"/>
          <w:shd w:val="clear" w:color="auto" w:fill="auto"/>
          <w:lang w:val="en-US" w:eastAsia="zh-CN"/>
        </w:rPr>
        <w:t>新华区</w:t>
      </w:r>
      <w:r>
        <w:rPr>
          <w:rFonts w:hint="eastAsia" w:ascii="方正小标宋简体" w:hAnsi="方正小标宋简体" w:eastAsia="方正小标宋简体" w:cs="方正小标宋简体"/>
          <w:b w:val="0"/>
          <w:bCs w:val="0"/>
          <w:color w:val="auto"/>
          <w:sz w:val="44"/>
          <w:szCs w:val="44"/>
          <w:highlight w:val="none"/>
          <w:shd w:val="clear" w:color="auto" w:fill="auto"/>
        </w:rPr>
        <w:t>烟草制品零售点合理布局规定</w:t>
      </w:r>
    </w:p>
    <w:p>
      <w:pPr>
        <w:keepNext w:val="0"/>
        <w:keepLines w:val="0"/>
        <w:pageBreakBefore w:val="0"/>
        <w:kinsoku/>
        <w:wordWrap/>
        <w:overflowPunct/>
        <w:topLinePunct w:val="0"/>
        <w:autoSpaceDE/>
        <w:autoSpaceDN/>
        <w:bidi w:val="0"/>
        <w:adjustRightInd/>
        <w:snapToGrid/>
        <w:spacing w:line="240" w:lineRule="auto"/>
        <w:jc w:val="center"/>
        <w:textAlignment w:val="auto"/>
        <w:outlineLvl w:val="0"/>
        <w:rPr>
          <w:rFonts w:hint="eastAsia" w:ascii="方正小标宋简体" w:hAnsi="方正小标宋简体" w:eastAsia="方正小标宋简体" w:cs="方正小标宋简体"/>
          <w:b w:val="0"/>
          <w:bCs w:val="0"/>
          <w:color w:val="auto"/>
          <w:sz w:val="44"/>
          <w:szCs w:val="44"/>
          <w:highlight w:val="none"/>
          <w:shd w:val="clear" w:color="auto" w:fill="auto"/>
          <w:lang w:eastAsia="zh-CN"/>
        </w:rPr>
      </w:pPr>
      <w:r>
        <w:rPr>
          <w:rFonts w:hint="eastAsia" w:ascii="方正小标宋简体" w:hAnsi="方正小标宋简体" w:eastAsia="方正小标宋简体" w:cs="方正小标宋简体"/>
          <w:b w:val="0"/>
          <w:bCs w:val="0"/>
          <w:color w:val="auto"/>
          <w:sz w:val="44"/>
          <w:szCs w:val="44"/>
          <w:highlight w:val="none"/>
          <w:shd w:val="clear" w:color="auto" w:fill="auto"/>
          <w:lang w:eastAsia="zh-CN"/>
        </w:rPr>
        <w:t>（征求意见稿）</w:t>
      </w:r>
    </w:p>
    <w:p>
      <w:pPr>
        <w:keepNext w:val="0"/>
        <w:keepLines w:val="0"/>
        <w:pageBreakBefore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color w:val="auto"/>
          <w:sz w:val="32"/>
          <w:szCs w:val="32"/>
          <w:highlight w:val="none"/>
          <w:shd w:val="clear" w:color="auto" w:fill="auto"/>
        </w:rPr>
      </w:pPr>
      <w:r>
        <w:rPr>
          <w:rFonts w:hint="eastAsia" w:ascii="黑体" w:hAnsi="黑体" w:eastAsia="黑体" w:cs="黑体"/>
          <w:b w:val="0"/>
          <w:bCs w:val="0"/>
          <w:color w:val="auto"/>
          <w:sz w:val="32"/>
          <w:szCs w:val="32"/>
          <w:highlight w:val="none"/>
          <w:shd w:val="clear" w:color="auto" w:fill="auto"/>
        </w:rPr>
        <w:t>第一章  总  则</w:t>
      </w:r>
    </w:p>
    <w:p>
      <w:pPr>
        <w:spacing w:line="640" w:lineRule="exact"/>
        <w:ind w:firstLine="640" w:firstLineChars="200"/>
        <w:rPr>
          <w:rFonts w:hint="eastAsia" w:ascii="仿宋_GB2312" w:hAnsi="仿宋_GB2312" w:eastAsia="仿宋_GB2312" w:cs="仿宋_GB2312"/>
          <w:color w:val="auto"/>
          <w:sz w:val="32"/>
          <w:szCs w:val="32"/>
          <w:highlight w:val="none"/>
        </w:rPr>
      </w:pPr>
      <w:r>
        <w:rPr>
          <w:rFonts w:hint="eastAsia" w:ascii="黑体" w:hAnsi="黑体" w:eastAsia="黑体" w:cs="仿宋_GB2312"/>
          <w:color w:val="auto"/>
          <w:sz w:val="32"/>
          <w:szCs w:val="32"/>
          <w:highlight w:val="none"/>
          <w:lang w:eastAsia="zh-Hans"/>
        </w:rPr>
        <w:t>第一条</w:t>
      </w:r>
      <w:r>
        <w:rPr>
          <w:rFonts w:hint="eastAsia" w:ascii="黑体" w:hAnsi="黑体" w:eastAsia="黑体" w:cs="仿宋_GB2312"/>
          <w:color w:val="auto"/>
          <w:sz w:val="32"/>
          <w:szCs w:val="32"/>
          <w:highlight w:val="none"/>
          <w:lang w:val="en-US" w:eastAsia="zh-CN"/>
        </w:rPr>
        <w:t xml:space="preserve"> </w:t>
      </w:r>
      <w:r>
        <w:rPr>
          <w:rFonts w:hint="eastAsia" w:ascii="仿宋_GB2312" w:hAnsi="仿宋_GB2312" w:eastAsia="仿宋_GB2312" w:cs="仿宋_GB2312"/>
          <w:color w:val="auto"/>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Hans"/>
        </w:rPr>
        <w:t>为加强烟草专卖零售许可证管理，规范烟草制品经营秩序，促进烟草市场健康发展，保障国家利益，维护经营者、消费者和未成年人的合法权益，根据《中华人民共和国行政许可法》《中华人民共和国烟草专卖法》《中华人民共和国烟草专卖法实施条例》《中华人民共和国未成年人保护法》《烟草专卖许可证管理办法》《烟草专卖许可证管理办法实施细则》等法律法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eastAsia="zh-Hans"/>
        </w:rPr>
        <w:t>规章</w:t>
      </w:r>
      <w:r>
        <w:rPr>
          <w:rFonts w:hint="eastAsia" w:ascii="仿宋_GB2312" w:hAnsi="仿宋_GB2312" w:eastAsia="仿宋_GB2312" w:cs="仿宋_GB2312"/>
          <w:color w:val="auto"/>
          <w:sz w:val="32"/>
          <w:szCs w:val="32"/>
          <w:highlight w:val="none"/>
          <w:lang w:eastAsia="zh-CN"/>
        </w:rPr>
        <w:t>和规范性文件</w:t>
      </w:r>
      <w:r>
        <w:rPr>
          <w:rFonts w:hint="eastAsia" w:ascii="仿宋_GB2312" w:hAnsi="仿宋_GB2312" w:eastAsia="仿宋_GB2312" w:cs="仿宋_GB2312"/>
          <w:color w:val="auto"/>
          <w:sz w:val="32"/>
          <w:szCs w:val="32"/>
          <w:highlight w:val="none"/>
          <w:lang w:eastAsia="zh-Hans"/>
        </w:rPr>
        <w:t>，</w:t>
      </w:r>
      <w:r>
        <w:rPr>
          <w:rFonts w:hint="eastAsia" w:ascii="仿宋_GB2312" w:hAnsi="仿宋_GB2312" w:eastAsia="仿宋_GB2312" w:cs="仿宋_GB2312"/>
          <w:color w:val="auto"/>
          <w:sz w:val="32"/>
          <w:szCs w:val="32"/>
          <w:highlight w:val="none"/>
        </w:rPr>
        <w:t>结合本辖区实际，</w:t>
      </w:r>
      <w:r>
        <w:rPr>
          <w:rFonts w:hint="eastAsia" w:ascii="仿宋_GB2312" w:hAnsi="仿宋_GB2312" w:eastAsia="仿宋_GB2312" w:cs="仿宋_GB2312"/>
          <w:color w:val="auto"/>
          <w:sz w:val="32"/>
          <w:szCs w:val="32"/>
          <w:highlight w:val="none"/>
          <w:lang w:eastAsia="zh-Hans"/>
        </w:rPr>
        <w:t>制定本</w:t>
      </w:r>
      <w:r>
        <w:rPr>
          <w:rFonts w:hint="eastAsia" w:ascii="仿宋_GB2312" w:hAnsi="仿宋_GB2312" w:eastAsia="仿宋_GB2312" w:cs="仿宋_GB2312"/>
          <w:color w:val="auto"/>
          <w:sz w:val="32"/>
          <w:szCs w:val="32"/>
          <w:highlight w:val="none"/>
        </w:rPr>
        <w:t>规定</w:t>
      </w:r>
      <w:r>
        <w:rPr>
          <w:rFonts w:hint="eastAsia" w:ascii="仿宋_GB2312" w:hAnsi="仿宋_GB2312" w:eastAsia="仿宋_GB2312" w:cs="仿宋_GB2312"/>
          <w:color w:val="auto"/>
          <w:sz w:val="32"/>
          <w:szCs w:val="32"/>
          <w:highlight w:val="none"/>
          <w:lang w:eastAsia="zh-Hans"/>
        </w:rPr>
        <w:t>。</w:t>
      </w:r>
    </w:p>
    <w:p>
      <w:pPr>
        <w:spacing w:line="640" w:lineRule="exact"/>
        <w:ind w:firstLine="640" w:firstLineChars="200"/>
        <w:rPr>
          <w:rFonts w:hint="eastAsia" w:ascii="仿宋_GB2312" w:hAnsi="仿宋_GB2312" w:eastAsia="仿宋_GB2312" w:cs="仿宋_GB2312"/>
          <w:color w:val="auto"/>
          <w:sz w:val="32"/>
          <w:szCs w:val="32"/>
          <w:highlight w:val="none"/>
        </w:rPr>
      </w:pPr>
      <w:r>
        <w:rPr>
          <w:rFonts w:hint="eastAsia" w:ascii="黑体" w:hAnsi="黑体" w:eastAsia="黑体" w:cs="仿宋_GB2312"/>
          <w:color w:val="auto"/>
          <w:sz w:val="32"/>
          <w:szCs w:val="32"/>
          <w:highlight w:val="none"/>
          <w:lang w:eastAsia="zh-Hans"/>
        </w:rPr>
        <w:t>第二条</w:t>
      </w:r>
      <w:r>
        <w:rPr>
          <w:rFonts w:hint="eastAsia" w:ascii="黑体" w:hAnsi="黑体" w:eastAsia="黑体" w:cs="仿宋_GB2312"/>
          <w:color w:val="auto"/>
          <w:sz w:val="32"/>
          <w:szCs w:val="32"/>
          <w:highlight w:val="none"/>
          <w:lang w:val="en-US" w:eastAsia="zh-CN"/>
        </w:rPr>
        <w:t xml:space="preserve"> </w:t>
      </w:r>
      <w:r>
        <w:rPr>
          <w:rFonts w:hint="eastAsia" w:ascii="仿宋_GB2312" w:hAnsi="仿宋_GB2312" w:eastAsia="仿宋_GB2312" w:cs="仿宋_GB2312"/>
          <w:color w:val="auto"/>
          <w:szCs w:val="32"/>
          <w:highlight w:val="none"/>
          <w:lang w:val="en-US" w:eastAsia="zh-CN"/>
        </w:rPr>
        <w:t xml:space="preserve"> </w:t>
      </w:r>
      <w:r>
        <w:rPr>
          <w:rFonts w:hint="eastAsia" w:ascii="仿宋_GB2312" w:hAnsi="仿宋_GB2312" w:eastAsia="仿宋_GB2312" w:cs="仿宋_GB2312"/>
          <w:color w:val="auto"/>
          <w:sz w:val="32"/>
          <w:szCs w:val="32"/>
          <w:highlight w:val="none"/>
        </w:rPr>
        <w:t>本规定适用于在</w:t>
      </w:r>
      <w:r>
        <w:rPr>
          <w:rFonts w:hint="eastAsia" w:ascii="仿宋_GB2312" w:hAnsi="仿宋_GB2312" w:eastAsia="仿宋_GB2312" w:cs="仿宋_GB2312"/>
          <w:color w:val="auto"/>
          <w:sz w:val="32"/>
          <w:szCs w:val="32"/>
          <w:highlight w:val="none"/>
          <w:lang w:val="en-US" w:eastAsia="zh-CN"/>
        </w:rPr>
        <w:t>新华区</w:t>
      </w:r>
      <w:r>
        <w:rPr>
          <w:rFonts w:hint="eastAsia" w:ascii="仿宋_GB2312" w:hAnsi="仿宋_GB2312" w:eastAsia="仿宋_GB2312" w:cs="仿宋_GB2312"/>
          <w:color w:val="auto"/>
          <w:sz w:val="32"/>
          <w:szCs w:val="32"/>
          <w:highlight w:val="none"/>
        </w:rPr>
        <w:t>行政区域内经营烟草制品零售业务的公民、法人或者其他组织。</w:t>
      </w:r>
    </w:p>
    <w:p>
      <w:pPr>
        <w:spacing w:line="640" w:lineRule="exact"/>
        <w:ind w:firstLine="640" w:firstLineChars="200"/>
        <w:rPr>
          <w:rFonts w:ascii="仿宋_GB2312" w:hAnsi="仿宋_GB2312" w:eastAsia="仿宋_GB2312" w:cs="仿宋_GB2312"/>
          <w:color w:val="auto"/>
          <w:sz w:val="32"/>
          <w:szCs w:val="32"/>
          <w:highlight w:val="none"/>
          <w:lang w:eastAsia="zh-Hans"/>
        </w:rPr>
      </w:pPr>
      <w:r>
        <w:rPr>
          <w:rFonts w:hint="eastAsia" w:ascii="黑体" w:hAnsi="黑体" w:eastAsia="黑体" w:cs="仿宋_GB2312"/>
          <w:color w:val="auto"/>
          <w:sz w:val="32"/>
          <w:szCs w:val="32"/>
          <w:highlight w:val="none"/>
          <w:lang w:eastAsia="zh-Hans"/>
        </w:rPr>
        <w:t>第</w:t>
      </w:r>
      <w:r>
        <w:rPr>
          <w:rFonts w:hint="eastAsia" w:ascii="黑体" w:hAnsi="黑体" w:eastAsia="黑体" w:cs="仿宋_GB2312"/>
          <w:color w:val="auto"/>
          <w:sz w:val="32"/>
          <w:szCs w:val="32"/>
          <w:highlight w:val="none"/>
          <w:lang w:val="en-US" w:eastAsia="zh-CN"/>
        </w:rPr>
        <w:t>三</w:t>
      </w:r>
      <w:r>
        <w:rPr>
          <w:rFonts w:hint="eastAsia" w:ascii="黑体" w:hAnsi="黑体" w:eastAsia="黑体" w:cs="仿宋_GB2312"/>
          <w:color w:val="auto"/>
          <w:sz w:val="32"/>
          <w:szCs w:val="32"/>
          <w:highlight w:val="none"/>
          <w:lang w:eastAsia="zh-Hans"/>
        </w:rPr>
        <w:t>条</w:t>
      </w:r>
      <w:r>
        <w:rPr>
          <w:rFonts w:hint="eastAsia" w:ascii="黑体" w:hAnsi="黑体" w:eastAsia="黑体"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Hans"/>
        </w:rPr>
        <w:t>烟草制品零售点</w:t>
      </w:r>
      <w:r>
        <w:rPr>
          <w:rFonts w:hint="eastAsia" w:ascii="仿宋_GB2312" w:hAnsi="仿宋_GB2312" w:eastAsia="仿宋_GB2312" w:cs="仿宋_GB2312"/>
          <w:color w:val="auto"/>
          <w:sz w:val="32"/>
          <w:szCs w:val="32"/>
          <w:highlight w:val="none"/>
        </w:rPr>
        <w:t>合理布局</w:t>
      </w:r>
      <w:r>
        <w:rPr>
          <w:rFonts w:hint="eastAsia" w:ascii="仿宋_GB2312" w:hAnsi="仿宋_GB2312" w:eastAsia="仿宋_GB2312" w:cs="仿宋_GB2312"/>
          <w:color w:val="auto"/>
          <w:sz w:val="32"/>
          <w:szCs w:val="32"/>
          <w:highlight w:val="none"/>
          <w:lang w:eastAsia="zh-Hans"/>
        </w:rPr>
        <w:t>遵循的原则：</w:t>
      </w:r>
    </w:p>
    <w:p>
      <w:pPr>
        <w:spacing w:line="640" w:lineRule="exact"/>
        <w:ind w:firstLine="640" w:firstLineChars="200"/>
        <w:rPr>
          <w:rFonts w:ascii="仿宋_GB2312" w:hAnsi="仿宋_GB2312" w:eastAsia="仿宋_GB2312" w:cs="仿宋_GB2312"/>
          <w:color w:val="auto"/>
          <w:sz w:val="32"/>
          <w:szCs w:val="32"/>
          <w:highlight w:val="none"/>
          <w:lang w:eastAsia="zh-Hans"/>
        </w:rPr>
      </w:pPr>
      <w:r>
        <w:rPr>
          <w:rFonts w:hint="eastAsia" w:ascii="仿宋_GB2312" w:hAnsi="仿宋_GB2312" w:eastAsia="仿宋_GB2312" w:cs="仿宋_GB2312"/>
          <w:color w:val="auto"/>
          <w:sz w:val="32"/>
          <w:szCs w:val="32"/>
          <w:highlight w:val="none"/>
          <w:lang w:eastAsia="zh-Hans"/>
        </w:rPr>
        <w:t>（一）公开、公平、公正的原则；</w:t>
      </w:r>
    </w:p>
    <w:p>
      <w:pPr>
        <w:spacing w:line="640" w:lineRule="exact"/>
        <w:ind w:firstLine="640" w:firstLineChars="200"/>
        <w:rPr>
          <w:rFonts w:ascii="仿宋_GB2312" w:hAnsi="仿宋_GB2312" w:eastAsia="仿宋_GB2312" w:cs="仿宋_GB2312"/>
          <w:color w:val="auto"/>
          <w:sz w:val="32"/>
          <w:szCs w:val="32"/>
          <w:highlight w:val="none"/>
          <w:lang w:eastAsia="zh-Hans"/>
        </w:rPr>
      </w:pPr>
      <w:r>
        <w:rPr>
          <w:rFonts w:hint="eastAsia" w:ascii="仿宋_GB2312" w:hAnsi="仿宋_GB2312" w:eastAsia="仿宋_GB2312" w:cs="仿宋_GB2312"/>
          <w:color w:val="auto"/>
          <w:sz w:val="32"/>
          <w:szCs w:val="32"/>
          <w:highlight w:val="none"/>
          <w:lang w:eastAsia="zh-Hans"/>
        </w:rPr>
        <w:t>（二）“一址一证”、合理配置、方便消费的原则；</w:t>
      </w:r>
    </w:p>
    <w:p>
      <w:pPr>
        <w:spacing w:line="64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Hans"/>
        </w:rPr>
        <w:t>（三）因地制宜、分类施策、依法办理的原则</w:t>
      </w:r>
      <w:r>
        <w:rPr>
          <w:rFonts w:hint="eastAsia" w:ascii="仿宋_GB2312" w:hAnsi="仿宋_GB2312" w:eastAsia="仿宋_GB2312" w:cs="仿宋_GB2312"/>
          <w:color w:val="auto"/>
          <w:sz w:val="32"/>
          <w:szCs w:val="32"/>
          <w:highlight w:val="none"/>
        </w:rPr>
        <w:t>；</w:t>
      </w:r>
    </w:p>
    <w:p>
      <w:pPr>
        <w:spacing w:line="640" w:lineRule="exact"/>
        <w:ind w:firstLine="640" w:firstLineChars="200"/>
        <w:rPr>
          <w:rFonts w:ascii="仿宋_GB2312" w:hAnsi="仿宋_GB2312" w:eastAsia="仿宋_GB2312" w:cs="仿宋_GB2312"/>
          <w:color w:val="auto"/>
          <w:sz w:val="32"/>
          <w:szCs w:val="32"/>
          <w:highlight w:val="none"/>
          <w:lang w:eastAsia="zh-Hans"/>
        </w:rPr>
      </w:pPr>
      <w:r>
        <w:rPr>
          <w:rFonts w:ascii="仿宋_GB2312" w:hAnsi="仿宋_GB2312" w:eastAsia="仿宋_GB2312" w:cs="仿宋_GB2312"/>
          <w:color w:val="auto"/>
          <w:sz w:val="32"/>
          <w:szCs w:val="32"/>
          <w:highlight w:val="none"/>
          <w:lang w:eastAsia="zh-Hans"/>
        </w:rPr>
        <w:t>（四）</w:t>
      </w:r>
      <w:r>
        <w:rPr>
          <w:rFonts w:hint="eastAsia" w:ascii="仿宋_GB2312" w:hAnsi="仿宋_GB2312" w:eastAsia="仿宋_GB2312" w:cs="仿宋_GB2312"/>
          <w:color w:val="auto"/>
          <w:sz w:val="32"/>
          <w:szCs w:val="32"/>
          <w:highlight w:val="none"/>
          <w:lang w:eastAsia="zh-Hans"/>
        </w:rPr>
        <w:t>科学规划、均衡发展</w:t>
      </w:r>
      <w:r>
        <w:rPr>
          <w:rFonts w:ascii="仿宋_GB2312" w:hAnsi="仿宋_GB2312" w:eastAsia="仿宋_GB2312" w:cs="仿宋_GB2312"/>
          <w:color w:val="auto"/>
          <w:sz w:val="32"/>
          <w:szCs w:val="32"/>
          <w:highlight w:val="none"/>
          <w:lang w:eastAsia="zh-Hans"/>
        </w:rPr>
        <w:t>、</w:t>
      </w:r>
      <w:r>
        <w:rPr>
          <w:rFonts w:hint="eastAsia" w:ascii="仿宋_GB2312" w:hAnsi="仿宋_GB2312" w:eastAsia="仿宋_GB2312" w:cs="仿宋_GB2312"/>
          <w:color w:val="auto"/>
          <w:sz w:val="32"/>
          <w:szCs w:val="32"/>
          <w:highlight w:val="none"/>
          <w:lang w:eastAsia="zh-Hans"/>
        </w:rPr>
        <w:t>服务社会</w:t>
      </w:r>
      <w:r>
        <w:rPr>
          <w:rFonts w:ascii="仿宋_GB2312" w:hAnsi="仿宋_GB2312" w:eastAsia="仿宋_GB2312" w:cs="仿宋_GB2312"/>
          <w:color w:val="auto"/>
          <w:sz w:val="32"/>
          <w:szCs w:val="32"/>
          <w:highlight w:val="none"/>
          <w:lang w:eastAsia="zh-Hans"/>
        </w:rPr>
        <w:t>的原则。</w:t>
      </w:r>
    </w:p>
    <w:p>
      <w:pPr>
        <w:spacing w:line="640" w:lineRule="exact"/>
        <w:ind w:firstLine="640" w:firstLineChars="200"/>
        <w:rPr>
          <w:rFonts w:ascii="仿宋_GB2312" w:hAnsi="仿宋_GB2312" w:eastAsia="仿宋_GB2312" w:cs="仿宋_GB2312"/>
          <w:color w:val="auto"/>
          <w:sz w:val="32"/>
          <w:szCs w:val="32"/>
          <w:highlight w:val="none"/>
          <w:lang w:eastAsia="zh-Hans"/>
        </w:rPr>
      </w:pPr>
      <w:r>
        <w:rPr>
          <w:rFonts w:hint="eastAsia" w:ascii="黑体" w:hAnsi="黑体" w:eastAsia="黑体" w:cs="仿宋_GB2312"/>
          <w:color w:val="auto"/>
          <w:sz w:val="32"/>
          <w:szCs w:val="32"/>
          <w:highlight w:val="none"/>
          <w:lang w:eastAsia="zh-Hans"/>
        </w:rPr>
        <w:t>第四条</w:t>
      </w:r>
      <w:r>
        <w:rPr>
          <w:rFonts w:hint="eastAsia" w:ascii="黑体" w:hAnsi="黑体" w:eastAsia="黑体" w:cs="仿宋_GB2312"/>
          <w:color w:val="auto"/>
          <w:sz w:val="32"/>
          <w:szCs w:val="32"/>
          <w:highlight w:val="none"/>
        </w:rPr>
        <w:t xml:space="preserve"> </w:t>
      </w:r>
      <w:r>
        <w:rPr>
          <w:rFonts w:hint="eastAsia" w:ascii="黑体" w:hAnsi="黑体" w:eastAsia="黑体"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本规定</w:t>
      </w:r>
      <w:r>
        <w:rPr>
          <w:rFonts w:hint="eastAsia" w:ascii="仿宋_GB2312" w:hAnsi="仿宋_GB2312" w:eastAsia="仿宋_GB2312" w:cs="仿宋_GB2312"/>
          <w:color w:val="auto"/>
          <w:sz w:val="32"/>
          <w:szCs w:val="32"/>
          <w:highlight w:val="none"/>
          <w:lang w:eastAsia="zh-Hans"/>
        </w:rPr>
        <w:t>以街道为</w:t>
      </w:r>
      <w:r>
        <w:rPr>
          <w:rFonts w:hint="eastAsia" w:ascii="仿宋_GB2312" w:hAnsi="仿宋_GB2312" w:eastAsia="仿宋_GB2312" w:cs="仿宋_GB2312"/>
          <w:color w:val="auto"/>
          <w:sz w:val="32"/>
          <w:szCs w:val="32"/>
          <w:highlight w:val="none"/>
          <w:lang w:eastAsia="zh-CN"/>
        </w:rPr>
        <w:t>标准划分网格单元</w:t>
      </w:r>
      <w:r>
        <w:rPr>
          <w:rFonts w:hint="eastAsia" w:ascii="仿宋_GB2312" w:hAnsi="仿宋_GB2312" w:eastAsia="仿宋_GB2312" w:cs="仿宋_GB2312"/>
          <w:color w:val="auto"/>
          <w:sz w:val="32"/>
          <w:szCs w:val="32"/>
          <w:highlight w:val="none"/>
        </w:rPr>
        <w:t>,根据人口数量、商圈类型、交通状况、经济发展水平、消费能力及相关发展规划等综合因素制定。</w:t>
      </w:r>
      <w:r>
        <w:rPr>
          <w:rFonts w:hint="eastAsia" w:ascii="仿宋_GB2312" w:hAnsi="仿宋_GB2312" w:eastAsia="仿宋_GB2312" w:cs="仿宋_GB2312"/>
          <w:color w:val="auto"/>
          <w:sz w:val="32"/>
          <w:szCs w:val="32"/>
          <w:highlight w:val="none"/>
          <w:lang w:eastAsia="zh-Hans"/>
        </w:rPr>
        <w:t xml:space="preserve"> </w:t>
      </w:r>
    </w:p>
    <w:p>
      <w:pPr>
        <w:spacing w:line="640" w:lineRule="exact"/>
        <w:ind w:firstLine="640" w:firstLineChars="200"/>
        <w:rPr>
          <w:rFonts w:hint="eastAsia" w:ascii="仿宋_GB2312" w:hAnsi="仿宋_GB2312" w:eastAsia="仿宋_GB2312" w:cs="仿宋_GB2312"/>
          <w:color w:val="auto"/>
          <w:sz w:val="32"/>
          <w:szCs w:val="32"/>
          <w:highlight w:val="none"/>
        </w:rPr>
      </w:pPr>
      <w:r>
        <w:rPr>
          <w:rFonts w:hint="eastAsia" w:ascii="黑体" w:hAnsi="黑体" w:eastAsia="黑体" w:cs="仿宋_GB2312"/>
          <w:color w:val="auto"/>
          <w:sz w:val="32"/>
          <w:szCs w:val="32"/>
          <w:highlight w:val="none"/>
          <w:lang w:eastAsia="zh-Hans"/>
        </w:rPr>
        <w:t>第</w:t>
      </w:r>
      <w:r>
        <w:rPr>
          <w:rFonts w:hint="eastAsia" w:ascii="黑体" w:hAnsi="黑体" w:eastAsia="黑体" w:cs="仿宋_GB2312"/>
          <w:color w:val="auto"/>
          <w:sz w:val="32"/>
          <w:szCs w:val="32"/>
          <w:highlight w:val="none"/>
        </w:rPr>
        <w:t>五</w:t>
      </w:r>
      <w:r>
        <w:rPr>
          <w:rFonts w:hint="eastAsia" w:ascii="黑体" w:hAnsi="黑体" w:eastAsia="黑体" w:cs="仿宋_GB2312"/>
          <w:color w:val="auto"/>
          <w:sz w:val="32"/>
          <w:szCs w:val="32"/>
          <w:highlight w:val="none"/>
          <w:lang w:eastAsia="zh-Hans"/>
        </w:rPr>
        <w:t>条</w:t>
      </w:r>
      <w:r>
        <w:rPr>
          <w:rFonts w:hint="eastAsia" w:ascii="黑体" w:hAnsi="黑体" w:eastAsia="黑体"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烟草专卖局应当按照收到申请的先后顺序审查申请材料，并根据《烟草专卖许可证管理办法》第二十一条的规定作出处理。</w:t>
      </w:r>
    </w:p>
    <w:p>
      <w:pPr>
        <w:spacing w:line="640" w:lineRule="exact"/>
        <w:ind w:firstLine="640" w:firstLineChars="200"/>
        <w:rPr>
          <w:rFonts w:ascii="仿宋_GB2312" w:hAnsi="仿宋_GB2312" w:eastAsia="仿宋_GB2312" w:cs="仿宋_GB2312"/>
          <w:color w:val="auto"/>
          <w:sz w:val="32"/>
          <w:szCs w:val="32"/>
          <w:highlight w:val="none"/>
        </w:rPr>
      </w:pPr>
      <w:r>
        <w:rPr>
          <w:rFonts w:hint="eastAsia" w:ascii="黑体" w:hAnsi="黑体" w:eastAsia="黑体" w:cs="仿宋_GB2312"/>
          <w:color w:val="auto"/>
          <w:sz w:val="32"/>
          <w:szCs w:val="32"/>
          <w:highlight w:val="none"/>
          <w:lang w:eastAsia="zh-Hans"/>
        </w:rPr>
        <w:t>第</w:t>
      </w:r>
      <w:r>
        <w:rPr>
          <w:rFonts w:hint="eastAsia" w:ascii="黑体" w:hAnsi="黑体" w:eastAsia="黑体" w:cs="仿宋_GB2312"/>
          <w:color w:val="auto"/>
          <w:sz w:val="32"/>
          <w:szCs w:val="32"/>
          <w:highlight w:val="none"/>
        </w:rPr>
        <w:t>六</w:t>
      </w:r>
      <w:r>
        <w:rPr>
          <w:rFonts w:hint="eastAsia" w:ascii="黑体" w:hAnsi="黑体" w:eastAsia="黑体" w:cs="仿宋_GB2312"/>
          <w:color w:val="auto"/>
          <w:sz w:val="32"/>
          <w:szCs w:val="32"/>
          <w:highlight w:val="none"/>
          <w:lang w:eastAsia="zh-Hans"/>
        </w:rPr>
        <w:t>条</w:t>
      </w:r>
      <w:r>
        <w:rPr>
          <w:rFonts w:hint="eastAsia" w:ascii="黑体" w:hAnsi="黑体" w:eastAsia="黑体"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依法取得烟草专卖零售许可证的公民、法人或者其他组织受法律保护；烟草专卖局作出的烟草专卖行政许可行为，公民、法人或者其他合法有效的社会组织享有陈述权、申辩权，有权依法申请行政复议或提起行政诉讼。</w:t>
      </w:r>
    </w:p>
    <w:p>
      <w:pPr>
        <w:spacing w:line="64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烟草专卖局颁发的烟草专卖零售许可证所依据的法律、法规、规章修改、废止，或者办理烟草专卖零售许可证所依据的客观情况发生重大变化的，烟草专卖局可以依法变更或撤回已经生效的烟草专卖零售许可证。</w:t>
      </w:r>
    </w:p>
    <w:p>
      <w:pPr>
        <w:numPr>
          <w:ilvl w:val="0"/>
          <w:numId w:val="2"/>
        </w:numPr>
        <w:spacing w:line="640" w:lineRule="exact"/>
        <w:jc w:val="center"/>
        <w:outlineLvl w:val="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 xml:space="preserve"> </w:t>
      </w:r>
      <w:r>
        <w:rPr>
          <w:rFonts w:ascii="黑体" w:hAnsi="黑体" w:eastAsia="黑体" w:cs="黑体"/>
          <w:color w:val="auto"/>
          <w:sz w:val="32"/>
          <w:szCs w:val="32"/>
          <w:highlight w:val="none"/>
        </w:rPr>
        <w:t>合理布局规划标准</w:t>
      </w:r>
    </w:p>
    <w:p>
      <w:pPr>
        <w:spacing w:line="640" w:lineRule="exact"/>
        <w:ind w:firstLine="640" w:firstLineChars="200"/>
        <w:jc w:val="left"/>
        <w:outlineLvl w:val="0"/>
        <w:rPr>
          <w:rFonts w:ascii="黑体" w:hAnsi="黑体" w:eastAsia="黑体" w:cs="黑体"/>
          <w:color w:val="auto"/>
          <w:sz w:val="32"/>
          <w:szCs w:val="32"/>
          <w:highlight w:val="none"/>
        </w:rPr>
      </w:pPr>
      <w:r>
        <w:rPr>
          <w:rFonts w:hint="eastAsia" w:ascii="黑体" w:hAnsi="黑体" w:eastAsia="黑体" w:cs="仿宋_GB2312"/>
          <w:color w:val="auto"/>
          <w:sz w:val="32"/>
          <w:szCs w:val="32"/>
          <w:highlight w:val="none"/>
          <w:lang w:eastAsia="zh-Hans"/>
        </w:rPr>
        <w:t>第</w:t>
      </w:r>
      <w:r>
        <w:rPr>
          <w:rFonts w:hint="eastAsia" w:ascii="黑体" w:hAnsi="黑体" w:eastAsia="黑体" w:cs="仿宋_GB2312"/>
          <w:color w:val="auto"/>
          <w:sz w:val="32"/>
          <w:szCs w:val="32"/>
          <w:highlight w:val="none"/>
          <w:lang w:eastAsia="zh-CN"/>
        </w:rPr>
        <w:t>七</w:t>
      </w:r>
      <w:r>
        <w:rPr>
          <w:rFonts w:hint="eastAsia" w:ascii="黑体" w:hAnsi="黑体" w:eastAsia="黑体" w:cs="仿宋_GB2312"/>
          <w:color w:val="auto"/>
          <w:sz w:val="32"/>
          <w:szCs w:val="32"/>
          <w:highlight w:val="none"/>
          <w:lang w:eastAsia="zh-Hans"/>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Hans"/>
        </w:rPr>
        <w:t>本</w:t>
      </w:r>
      <w:r>
        <w:rPr>
          <w:rFonts w:hint="eastAsia" w:ascii="仿宋_GB2312" w:hAnsi="仿宋_GB2312" w:eastAsia="仿宋_GB2312" w:cs="仿宋_GB2312"/>
          <w:color w:val="auto"/>
          <w:sz w:val="32"/>
          <w:szCs w:val="32"/>
          <w:highlight w:val="none"/>
        </w:rPr>
        <w:t>规定</w:t>
      </w:r>
      <w:r>
        <w:rPr>
          <w:rFonts w:hint="eastAsia" w:ascii="仿宋_GB2312" w:hAnsi="仿宋_GB2312" w:eastAsia="仿宋_GB2312" w:cs="仿宋_GB2312"/>
          <w:color w:val="auto"/>
          <w:sz w:val="32"/>
          <w:szCs w:val="32"/>
          <w:highlight w:val="none"/>
          <w:lang w:eastAsia="zh-Hans"/>
        </w:rPr>
        <w:t>所称的烟草制品零售点</w:t>
      </w:r>
      <w:r>
        <w:rPr>
          <w:rFonts w:hint="eastAsia" w:ascii="仿宋_GB2312" w:hAnsi="仿宋_GB2312" w:eastAsia="仿宋_GB2312" w:cs="仿宋_GB2312"/>
          <w:color w:val="auto"/>
          <w:sz w:val="32"/>
          <w:szCs w:val="32"/>
          <w:highlight w:val="none"/>
          <w:lang w:eastAsia="zh-CN"/>
        </w:rPr>
        <w:t>（以下简称“零售点”）</w:t>
      </w:r>
      <w:r>
        <w:rPr>
          <w:rFonts w:hint="eastAsia" w:ascii="仿宋_GB2312" w:hAnsi="仿宋_GB2312" w:eastAsia="仿宋_GB2312" w:cs="仿宋_GB2312"/>
          <w:color w:val="auto"/>
          <w:sz w:val="32"/>
          <w:szCs w:val="32"/>
          <w:highlight w:val="none"/>
          <w:lang w:eastAsia="zh-Hans"/>
        </w:rPr>
        <w:t>是指公民、法人及其他组织依法申请取得烟草专卖零售许可证从事烟草制品零售业务的经营场所。</w:t>
      </w:r>
    </w:p>
    <w:p>
      <w:pPr>
        <w:spacing w:line="64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Hans"/>
        </w:rPr>
        <w:t>零售点应当设置</w:t>
      </w:r>
      <w:r>
        <w:rPr>
          <w:rFonts w:hint="eastAsia" w:ascii="仿宋_GB2312" w:hAnsi="仿宋_GB2312" w:eastAsia="仿宋_GB2312" w:cs="仿宋_GB2312"/>
          <w:color w:val="auto"/>
          <w:sz w:val="32"/>
          <w:szCs w:val="32"/>
          <w:highlight w:val="none"/>
          <w:lang w:eastAsia="zh-CN"/>
        </w:rPr>
        <w:t>于</w:t>
      </w:r>
      <w:r>
        <w:rPr>
          <w:rFonts w:hint="eastAsia" w:ascii="仿宋_GB2312" w:hAnsi="仿宋_GB2312" w:eastAsia="仿宋_GB2312" w:cs="仿宋_GB2312"/>
          <w:color w:val="auto"/>
          <w:sz w:val="32"/>
          <w:szCs w:val="32"/>
          <w:highlight w:val="none"/>
          <w:lang w:eastAsia="zh-Hans"/>
        </w:rPr>
        <w:t>与住所相独立的固定经营场所，并依法在核准的经营场所范围内</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Hans"/>
        </w:rPr>
        <w:t>面向公众经营</w:t>
      </w:r>
      <w:r>
        <w:rPr>
          <w:rFonts w:hint="eastAsia" w:ascii="仿宋_GB2312" w:hAnsi="仿宋_GB2312" w:eastAsia="仿宋_GB2312" w:cs="仿宋_GB2312"/>
          <w:color w:val="auto"/>
          <w:sz w:val="32"/>
          <w:szCs w:val="32"/>
          <w:highlight w:val="none"/>
        </w:rPr>
        <w:t>。</w:t>
      </w:r>
    </w:p>
    <w:p>
      <w:pPr>
        <w:numPr>
          <w:ilvl w:val="0"/>
          <w:numId w:val="0"/>
        </w:numPr>
        <w:spacing w:line="64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仿宋_GB2312"/>
          <w:color w:val="auto"/>
          <w:sz w:val="32"/>
          <w:szCs w:val="32"/>
          <w:highlight w:val="none"/>
          <w:lang w:eastAsia="zh-Hans"/>
        </w:rPr>
        <w:t>第</w:t>
      </w:r>
      <w:r>
        <w:rPr>
          <w:rFonts w:hint="eastAsia" w:ascii="黑体" w:hAnsi="黑体" w:eastAsia="黑体" w:cs="仿宋_GB2312"/>
          <w:color w:val="auto"/>
          <w:sz w:val="32"/>
          <w:szCs w:val="32"/>
          <w:highlight w:val="none"/>
          <w:lang w:eastAsia="zh-CN"/>
        </w:rPr>
        <w:t>八</w:t>
      </w:r>
      <w:r>
        <w:rPr>
          <w:rFonts w:hint="eastAsia" w:ascii="黑体" w:hAnsi="黑体" w:eastAsia="黑体" w:cs="仿宋_GB2312"/>
          <w:color w:val="auto"/>
          <w:sz w:val="32"/>
          <w:szCs w:val="32"/>
          <w:highlight w:val="none"/>
          <w:lang w:eastAsia="zh-Hans"/>
        </w:rPr>
        <w:t>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在坚持均衡发展、零售</w:t>
      </w:r>
      <w:r>
        <w:rPr>
          <w:rFonts w:hint="eastAsia" w:ascii="仿宋_GB2312" w:hAnsi="仿宋_GB2312" w:eastAsia="仿宋_GB2312" w:cs="仿宋_GB2312"/>
          <w:color w:val="auto"/>
          <w:sz w:val="32"/>
          <w:szCs w:val="32"/>
          <w:highlight w:val="none"/>
          <w:lang w:eastAsia="zh-CN"/>
        </w:rPr>
        <w:t>点</w:t>
      </w:r>
      <w:r>
        <w:rPr>
          <w:rFonts w:hint="eastAsia" w:ascii="仿宋_GB2312" w:hAnsi="仿宋_GB2312" w:eastAsia="仿宋_GB2312" w:cs="仿宋_GB2312"/>
          <w:color w:val="auto"/>
          <w:sz w:val="32"/>
          <w:szCs w:val="32"/>
          <w:highlight w:val="none"/>
        </w:rPr>
        <w:t>总量与烟草制品消费需求相适应的原则下，</w:t>
      </w:r>
      <w:r>
        <w:rPr>
          <w:rFonts w:hint="eastAsia" w:ascii="仿宋_GB2312" w:hAnsi="仿宋_GB2312" w:eastAsia="仿宋_GB2312" w:cs="仿宋_GB2312"/>
          <w:color w:val="auto"/>
          <w:sz w:val="32"/>
          <w:szCs w:val="32"/>
          <w:highlight w:val="none"/>
          <w:lang w:eastAsia="zh-CN"/>
        </w:rPr>
        <w:t>烟草专卖局</w:t>
      </w:r>
      <w:r>
        <w:rPr>
          <w:rFonts w:hint="eastAsia" w:ascii="仿宋_GB2312" w:hAnsi="仿宋_GB2312" w:eastAsia="仿宋_GB2312" w:cs="仿宋_GB2312"/>
          <w:color w:val="auto"/>
          <w:sz w:val="32"/>
          <w:szCs w:val="32"/>
          <w:highlight w:val="none"/>
        </w:rPr>
        <w:t>组合运</w:t>
      </w:r>
      <w:r>
        <w:rPr>
          <w:rFonts w:hint="eastAsia" w:ascii="仿宋_GB2312" w:hAnsi="仿宋_GB2312" w:eastAsia="仿宋_GB2312" w:cs="仿宋_GB2312"/>
          <w:color w:val="auto"/>
          <w:sz w:val="32"/>
          <w:szCs w:val="32"/>
          <w:highlight w:val="none"/>
          <w:lang w:eastAsia="zh-Hans"/>
        </w:rPr>
        <w:t>用</w:t>
      </w:r>
      <w:r>
        <w:rPr>
          <w:rFonts w:hint="eastAsia" w:ascii="仿宋_GB2312" w:hAnsi="仿宋_GB2312" w:eastAsia="仿宋_GB2312" w:cs="仿宋_GB2312"/>
          <w:color w:val="auto"/>
          <w:sz w:val="32"/>
          <w:szCs w:val="32"/>
          <w:highlight w:val="none"/>
          <w:lang w:eastAsia="zh-CN"/>
        </w:rPr>
        <w:t>数量调控</w:t>
      </w:r>
      <w:r>
        <w:rPr>
          <w:rFonts w:hint="eastAsia" w:ascii="仿宋_GB2312" w:hAnsi="仿宋_GB2312" w:eastAsia="仿宋_GB2312" w:cs="仿宋_GB2312"/>
          <w:color w:val="auto"/>
          <w:sz w:val="32"/>
          <w:szCs w:val="32"/>
          <w:highlight w:val="none"/>
          <w:lang w:eastAsia="zh-Hans"/>
        </w:rPr>
        <w:t>、</w:t>
      </w:r>
      <w:r>
        <w:rPr>
          <w:rFonts w:hint="eastAsia" w:ascii="仿宋_GB2312" w:hAnsi="仿宋_GB2312" w:eastAsia="仿宋_GB2312" w:cs="仿宋_GB2312"/>
          <w:color w:val="auto"/>
          <w:sz w:val="32"/>
          <w:szCs w:val="32"/>
          <w:highlight w:val="none"/>
          <w:lang w:eastAsia="zh-CN"/>
        </w:rPr>
        <w:t>距离控制</w:t>
      </w:r>
      <w:r>
        <w:rPr>
          <w:rFonts w:hint="eastAsia" w:ascii="仿宋_GB2312" w:hAnsi="仿宋_GB2312" w:eastAsia="仿宋_GB2312" w:cs="仿宋_GB2312"/>
          <w:color w:val="auto"/>
          <w:sz w:val="32"/>
          <w:szCs w:val="32"/>
          <w:highlight w:val="none"/>
          <w:lang w:eastAsia="zh-Hans"/>
        </w:rPr>
        <w:t>和</w:t>
      </w:r>
      <w:r>
        <w:rPr>
          <w:rFonts w:hint="eastAsia" w:ascii="仿宋_GB2312" w:hAnsi="仿宋_GB2312" w:eastAsia="仿宋_GB2312" w:cs="仿宋_GB2312"/>
          <w:color w:val="auto"/>
          <w:sz w:val="32"/>
          <w:szCs w:val="32"/>
          <w:highlight w:val="none"/>
        </w:rPr>
        <w:t>其他符合本地实际</w:t>
      </w:r>
      <w:r>
        <w:rPr>
          <w:rFonts w:hint="eastAsia" w:ascii="仿宋_GB2312" w:hAnsi="仿宋_GB2312" w:eastAsia="仿宋_GB2312" w:cs="仿宋_GB2312"/>
          <w:color w:val="auto"/>
          <w:sz w:val="32"/>
          <w:szCs w:val="32"/>
          <w:highlight w:val="none"/>
          <w:lang w:eastAsia="zh-CN"/>
        </w:rPr>
        <w:t>、科学合理</w:t>
      </w:r>
      <w:r>
        <w:rPr>
          <w:rFonts w:hint="eastAsia" w:ascii="仿宋_GB2312" w:hAnsi="仿宋_GB2312" w:eastAsia="仿宋_GB2312" w:cs="仿宋_GB2312"/>
          <w:color w:val="auto"/>
          <w:sz w:val="32"/>
          <w:szCs w:val="32"/>
          <w:highlight w:val="none"/>
        </w:rPr>
        <w:t>的模式</w:t>
      </w:r>
      <w:r>
        <w:rPr>
          <w:rFonts w:hint="eastAsia" w:ascii="仿宋_GB2312" w:hAnsi="仿宋_GB2312" w:eastAsia="仿宋_GB2312" w:cs="仿宋_GB2312"/>
          <w:color w:val="auto"/>
          <w:sz w:val="32"/>
          <w:szCs w:val="32"/>
          <w:highlight w:val="none"/>
          <w:lang w:eastAsia="zh-CN"/>
        </w:rPr>
        <w:t>进行零售点布局规划</w:t>
      </w:r>
      <w:r>
        <w:rPr>
          <w:rFonts w:hint="eastAsia" w:ascii="仿宋_GB2312" w:hAnsi="仿宋_GB2312" w:eastAsia="仿宋_GB2312" w:cs="仿宋_GB2312"/>
          <w:color w:val="auto"/>
          <w:sz w:val="32"/>
          <w:szCs w:val="32"/>
          <w:highlight w:val="none"/>
        </w:rPr>
        <w:t>。</w:t>
      </w:r>
    </w:p>
    <w:p>
      <w:pPr>
        <w:numPr>
          <w:ilvl w:val="0"/>
          <w:numId w:val="0"/>
        </w:numPr>
        <w:spacing w:line="640" w:lineRule="exact"/>
        <w:ind w:firstLine="640" w:firstLineChars="200"/>
        <w:rPr>
          <w:rFonts w:hint="eastAsia" w:ascii="仿宋_GB2312" w:hAnsi="仿宋_GB2312" w:eastAsia="仿宋_GB2312" w:cs="仿宋_GB2312"/>
          <w:color w:val="auto"/>
          <w:sz w:val="32"/>
          <w:szCs w:val="32"/>
          <w:highlight w:val="none"/>
        </w:rPr>
      </w:pPr>
      <w:r>
        <w:rPr>
          <w:rFonts w:hint="eastAsia" w:ascii="黑体" w:hAnsi="黑体" w:eastAsia="黑体" w:cs="仿宋_GB2312"/>
          <w:color w:val="auto"/>
          <w:sz w:val="32"/>
          <w:szCs w:val="32"/>
          <w:highlight w:val="none"/>
          <w:lang w:eastAsia="zh-CN"/>
        </w:rPr>
        <w:t>第九条</w:t>
      </w:r>
      <w:r>
        <w:rPr>
          <w:rFonts w:hint="eastAsia" w:ascii="黑体" w:hAnsi="黑体" w:eastAsia="黑体"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依据</w:t>
      </w:r>
      <w:r>
        <w:rPr>
          <w:rFonts w:hint="eastAsia" w:ascii="仿宋_GB2312" w:hAnsi="仿宋_GB2312" w:eastAsia="仿宋_GB2312" w:cs="仿宋_GB2312"/>
          <w:color w:val="auto"/>
          <w:sz w:val="32"/>
          <w:szCs w:val="32"/>
          <w:highlight w:val="none"/>
          <w:lang w:val="en-US" w:eastAsia="zh-CN"/>
        </w:rPr>
        <w:t>新华区</w:t>
      </w:r>
      <w:r>
        <w:rPr>
          <w:rFonts w:hint="eastAsia" w:ascii="仿宋_GB2312" w:hAnsi="仿宋_GB2312" w:eastAsia="仿宋_GB2312" w:cs="仿宋_GB2312"/>
          <w:color w:val="auto"/>
          <w:sz w:val="32"/>
          <w:szCs w:val="32"/>
          <w:highlight w:val="none"/>
        </w:rPr>
        <w:t>烟草制品</w:t>
      </w:r>
      <w:r>
        <w:rPr>
          <w:rFonts w:hint="eastAsia" w:ascii="仿宋_GB2312" w:hAnsi="仿宋_GB2312" w:eastAsia="仿宋_GB2312" w:cs="仿宋_GB2312"/>
          <w:color w:val="auto"/>
          <w:sz w:val="32"/>
          <w:szCs w:val="32"/>
          <w:highlight w:val="none"/>
          <w:lang w:eastAsia="zh-CN"/>
        </w:rPr>
        <w:t>零售</w:t>
      </w:r>
      <w:r>
        <w:rPr>
          <w:rFonts w:hint="eastAsia" w:ascii="仿宋_GB2312" w:hAnsi="仿宋_GB2312" w:eastAsia="仿宋_GB2312" w:cs="仿宋_GB2312"/>
          <w:color w:val="auto"/>
          <w:sz w:val="32"/>
          <w:szCs w:val="32"/>
          <w:highlight w:val="none"/>
        </w:rPr>
        <w:t>市场经营特点，量化分析</w:t>
      </w:r>
      <w:r>
        <w:rPr>
          <w:rFonts w:hint="eastAsia" w:ascii="仿宋_GB2312" w:hAnsi="仿宋_GB2312" w:eastAsia="仿宋_GB2312" w:cs="仿宋_GB2312"/>
          <w:color w:val="auto"/>
          <w:sz w:val="32"/>
          <w:szCs w:val="32"/>
          <w:highlight w:val="none"/>
          <w:lang w:eastAsia="zh-CN"/>
        </w:rPr>
        <w:t>划分</w:t>
      </w:r>
      <w:r>
        <w:rPr>
          <w:rFonts w:hint="eastAsia" w:ascii="仿宋_GB2312" w:hAnsi="仿宋_GB2312" w:eastAsia="仿宋_GB2312" w:cs="仿宋_GB2312"/>
          <w:color w:val="auto"/>
          <w:sz w:val="32"/>
          <w:szCs w:val="32"/>
          <w:highlight w:val="none"/>
        </w:rPr>
        <w:t>烟草制品零售</w:t>
      </w:r>
      <w:r>
        <w:rPr>
          <w:rFonts w:hint="eastAsia" w:ascii="仿宋_GB2312" w:hAnsi="仿宋_GB2312" w:eastAsia="仿宋_GB2312" w:cs="仿宋_GB2312"/>
          <w:color w:val="auto"/>
          <w:sz w:val="32"/>
          <w:szCs w:val="32"/>
          <w:highlight w:val="none"/>
          <w:lang w:eastAsia="zh-CN"/>
        </w:rPr>
        <w:t>业务</w:t>
      </w:r>
      <w:r>
        <w:rPr>
          <w:rFonts w:hint="eastAsia" w:ascii="仿宋_GB2312" w:hAnsi="仿宋_GB2312" w:eastAsia="仿宋_GB2312" w:cs="仿宋_GB2312"/>
          <w:color w:val="auto"/>
          <w:sz w:val="32"/>
          <w:szCs w:val="32"/>
          <w:highlight w:val="none"/>
        </w:rPr>
        <w:t>相关的因素，测算</w:t>
      </w:r>
      <w:r>
        <w:rPr>
          <w:rFonts w:hint="eastAsia" w:ascii="仿宋_GB2312" w:hAnsi="仿宋_GB2312" w:eastAsia="仿宋_GB2312" w:cs="仿宋_GB2312"/>
          <w:color w:val="auto"/>
          <w:sz w:val="32"/>
          <w:szCs w:val="32"/>
          <w:highlight w:val="none"/>
          <w:lang w:eastAsia="zh-CN"/>
        </w:rPr>
        <w:t>网格单元内</w:t>
      </w:r>
      <w:r>
        <w:rPr>
          <w:rFonts w:hint="eastAsia" w:ascii="仿宋_GB2312" w:hAnsi="仿宋_GB2312" w:eastAsia="仿宋_GB2312" w:cs="仿宋_GB2312"/>
          <w:color w:val="auto"/>
          <w:sz w:val="32"/>
          <w:szCs w:val="32"/>
          <w:highlight w:val="none"/>
        </w:rPr>
        <w:t>零售点的合理数量，将</w:t>
      </w:r>
      <w:r>
        <w:rPr>
          <w:rFonts w:hint="eastAsia" w:ascii="仿宋_GB2312" w:hAnsi="仿宋_GB2312" w:eastAsia="仿宋_GB2312" w:cs="仿宋_GB2312"/>
          <w:color w:val="auto"/>
          <w:sz w:val="32"/>
          <w:szCs w:val="32"/>
          <w:highlight w:val="none"/>
          <w:lang w:eastAsia="zh-CN"/>
        </w:rPr>
        <w:t>辖区</w:t>
      </w:r>
      <w:r>
        <w:rPr>
          <w:rFonts w:hint="eastAsia" w:ascii="仿宋_GB2312" w:hAnsi="仿宋_GB2312" w:eastAsia="仿宋_GB2312" w:cs="仿宋_GB2312"/>
          <w:color w:val="auto"/>
          <w:sz w:val="32"/>
          <w:szCs w:val="32"/>
          <w:highlight w:val="none"/>
        </w:rPr>
        <w:t>烟草制品零售市场划分为饱和区和发展区两种</w:t>
      </w:r>
      <w:r>
        <w:rPr>
          <w:rFonts w:hint="eastAsia" w:ascii="仿宋_GB2312" w:hAnsi="仿宋_GB2312" w:eastAsia="仿宋_GB2312" w:cs="仿宋_GB2312"/>
          <w:color w:val="auto"/>
          <w:sz w:val="32"/>
          <w:szCs w:val="32"/>
          <w:highlight w:val="none"/>
          <w:lang w:eastAsia="zh-CN"/>
        </w:rPr>
        <w:t>网格单元</w:t>
      </w:r>
      <w:r>
        <w:rPr>
          <w:rFonts w:hint="eastAsia" w:ascii="仿宋_GB2312" w:hAnsi="仿宋_GB2312" w:eastAsia="仿宋_GB2312" w:cs="仿宋_GB2312"/>
          <w:color w:val="auto"/>
          <w:sz w:val="32"/>
          <w:szCs w:val="32"/>
          <w:highlight w:val="none"/>
        </w:rPr>
        <w:t>类型。</w:t>
      </w:r>
    </w:p>
    <w:p>
      <w:pPr>
        <w:spacing w:line="640" w:lineRule="exact"/>
        <w:ind w:firstLine="640" w:firstLineChars="200"/>
        <w:rPr>
          <w:rFonts w:ascii="仿宋_GB2312" w:hAnsi="仿宋_GB2312" w:eastAsia="仿宋_GB2312" w:cs="仿宋_GB2312"/>
          <w:color w:val="auto"/>
          <w:szCs w:val="32"/>
          <w:highlight w:val="none"/>
        </w:rPr>
      </w:pPr>
      <w:r>
        <w:rPr>
          <w:rFonts w:hint="eastAsia" w:ascii="仿宋_GB2312" w:hAnsi="仿宋_GB2312" w:eastAsia="仿宋_GB2312" w:cs="仿宋_GB2312"/>
          <w:color w:val="auto"/>
          <w:sz w:val="32"/>
          <w:szCs w:val="32"/>
          <w:highlight w:val="none"/>
        </w:rPr>
        <w:t>饱和区是指</w:t>
      </w:r>
      <w:r>
        <w:rPr>
          <w:rFonts w:hint="eastAsia" w:ascii="仿宋_GB2312" w:hAnsi="仿宋_GB2312" w:eastAsia="仿宋_GB2312" w:cs="仿宋_GB2312"/>
          <w:color w:val="auto"/>
          <w:sz w:val="32"/>
          <w:szCs w:val="32"/>
          <w:highlight w:val="none"/>
          <w:lang w:eastAsia="zh-CN"/>
        </w:rPr>
        <w:t>网格单元内的</w:t>
      </w:r>
      <w:r>
        <w:rPr>
          <w:rFonts w:hint="eastAsia" w:ascii="仿宋_GB2312" w:hAnsi="仿宋_GB2312" w:eastAsia="仿宋_GB2312" w:cs="仿宋_GB2312"/>
          <w:color w:val="auto"/>
          <w:sz w:val="32"/>
          <w:szCs w:val="32"/>
          <w:highlight w:val="none"/>
        </w:rPr>
        <w:t>持证户数</w:t>
      </w:r>
      <w:r>
        <w:rPr>
          <w:rFonts w:hint="eastAsia" w:ascii="仿宋_GB2312" w:hAnsi="仿宋_GB2312" w:eastAsia="仿宋_GB2312" w:cs="仿宋_GB2312"/>
          <w:color w:val="auto"/>
          <w:sz w:val="32"/>
          <w:szCs w:val="32"/>
          <w:highlight w:val="none"/>
          <w:lang w:eastAsia="zh-CN"/>
        </w:rPr>
        <w:t>量</w:t>
      </w:r>
      <w:r>
        <w:rPr>
          <w:rFonts w:hint="eastAsia" w:ascii="仿宋_GB2312" w:hAnsi="仿宋_GB2312" w:eastAsia="仿宋_GB2312" w:cs="仿宋_GB2312"/>
          <w:color w:val="auto"/>
          <w:sz w:val="32"/>
          <w:szCs w:val="32"/>
          <w:highlight w:val="none"/>
        </w:rPr>
        <w:t>大于或等于</w:t>
      </w:r>
      <w:r>
        <w:rPr>
          <w:rFonts w:hint="eastAsia" w:ascii="仿宋_GB2312" w:hAnsi="仿宋_GB2312" w:eastAsia="仿宋_GB2312" w:cs="仿宋_GB2312"/>
          <w:color w:val="auto"/>
          <w:sz w:val="32"/>
          <w:szCs w:val="32"/>
          <w:highlight w:val="none"/>
          <w:lang w:eastAsia="zh-CN"/>
        </w:rPr>
        <w:t>该网格单元</w:t>
      </w:r>
      <w:r>
        <w:rPr>
          <w:rFonts w:hint="eastAsia" w:ascii="仿宋_GB2312" w:hAnsi="仿宋_GB2312" w:eastAsia="仿宋_GB2312" w:cs="仿宋_GB2312"/>
          <w:color w:val="auto"/>
          <w:sz w:val="32"/>
          <w:szCs w:val="32"/>
          <w:highlight w:val="none"/>
        </w:rPr>
        <w:t>零售点</w:t>
      </w:r>
      <w:r>
        <w:rPr>
          <w:rFonts w:hint="eastAsia" w:ascii="仿宋_GB2312" w:hAnsi="仿宋_GB2312" w:eastAsia="仿宋_GB2312" w:cs="仿宋_GB2312"/>
          <w:color w:val="auto"/>
          <w:sz w:val="32"/>
          <w:szCs w:val="32"/>
          <w:highlight w:val="none"/>
          <w:lang w:eastAsia="zh-CN"/>
        </w:rPr>
        <w:t>合理</w:t>
      </w:r>
      <w:r>
        <w:rPr>
          <w:rFonts w:hint="eastAsia" w:ascii="仿宋_GB2312" w:hAnsi="仿宋_GB2312" w:eastAsia="仿宋_GB2312" w:cs="仿宋_GB2312"/>
          <w:color w:val="auto"/>
          <w:sz w:val="32"/>
          <w:szCs w:val="32"/>
          <w:highlight w:val="none"/>
        </w:rPr>
        <w:t>容量；发展区为</w:t>
      </w:r>
      <w:r>
        <w:rPr>
          <w:rFonts w:hint="eastAsia" w:ascii="仿宋_GB2312" w:hAnsi="仿宋_GB2312" w:eastAsia="仿宋_GB2312" w:cs="仿宋_GB2312"/>
          <w:color w:val="auto"/>
          <w:sz w:val="32"/>
          <w:szCs w:val="32"/>
          <w:highlight w:val="none"/>
          <w:lang w:eastAsia="zh-CN"/>
        </w:rPr>
        <w:t>网格</w:t>
      </w:r>
      <w:r>
        <w:rPr>
          <w:rFonts w:hint="eastAsia" w:ascii="仿宋_GB2312" w:hAnsi="仿宋_GB2312" w:eastAsia="仿宋_GB2312" w:cs="仿宋_GB2312"/>
          <w:color w:val="auto"/>
          <w:sz w:val="32"/>
          <w:szCs w:val="32"/>
          <w:highlight w:val="none"/>
        </w:rPr>
        <w:t>单元</w:t>
      </w:r>
      <w:r>
        <w:rPr>
          <w:rFonts w:hint="eastAsia" w:ascii="仿宋_GB2312" w:hAnsi="仿宋_GB2312" w:eastAsia="仿宋_GB2312" w:cs="仿宋_GB2312"/>
          <w:color w:val="auto"/>
          <w:sz w:val="32"/>
          <w:szCs w:val="32"/>
          <w:highlight w:val="none"/>
          <w:lang w:eastAsia="zh-CN"/>
        </w:rPr>
        <w:t>内的</w:t>
      </w:r>
      <w:r>
        <w:rPr>
          <w:rFonts w:hint="eastAsia" w:ascii="仿宋_GB2312" w:hAnsi="仿宋_GB2312" w:eastAsia="仿宋_GB2312" w:cs="仿宋_GB2312"/>
          <w:color w:val="auto"/>
          <w:sz w:val="32"/>
          <w:szCs w:val="32"/>
          <w:highlight w:val="none"/>
        </w:rPr>
        <w:t>持证户数</w:t>
      </w:r>
      <w:r>
        <w:rPr>
          <w:rFonts w:hint="eastAsia" w:ascii="仿宋_GB2312" w:hAnsi="仿宋_GB2312" w:eastAsia="仿宋_GB2312" w:cs="仿宋_GB2312"/>
          <w:color w:val="auto"/>
          <w:sz w:val="32"/>
          <w:szCs w:val="32"/>
          <w:highlight w:val="none"/>
          <w:lang w:eastAsia="zh-CN"/>
        </w:rPr>
        <w:t>量</w:t>
      </w:r>
      <w:r>
        <w:rPr>
          <w:rFonts w:hint="eastAsia" w:ascii="仿宋_GB2312" w:hAnsi="仿宋_GB2312" w:eastAsia="仿宋_GB2312" w:cs="仿宋_GB2312"/>
          <w:color w:val="auto"/>
          <w:sz w:val="32"/>
          <w:szCs w:val="32"/>
          <w:highlight w:val="none"/>
        </w:rPr>
        <w:t>小于</w:t>
      </w:r>
      <w:r>
        <w:rPr>
          <w:rFonts w:hint="eastAsia" w:ascii="仿宋_GB2312" w:hAnsi="仿宋_GB2312" w:eastAsia="仿宋_GB2312" w:cs="仿宋_GB2312"/>
          <w:color w:val="auto"/>
          <w:sz w:val="32"/>
          <w:szCs w:val="32"/>
          <w:highlight w:val="none"/>
          <w:lang w:eastAsia="zh-CN"/>
        </w:rPr>
        <w:t>该网格</w:t>
      </w:r>
      <w:r>
        <w:rPr>
          <w:rFonts w:hint="eastAsia" w:ascii="仿宋_GB2312" w:hAnsi="仿宋_GB2312" w:eastAsia="仿宋_GB2312" w:cs="仿宋_GB2312"/>
          <w:color w:val="auto"/>
          <w:sz w:val="32"/>
          <w:szCs w:val="32"/>
          <w:highlight w:val="none"/>
        </w:rPr>
        <w:t>单元零售点</w:t>
      </w:r>
      <w:r>
        <w:rPr>
          <w:rFonts w:hint="eastAsia" w:ascii="仿宋_GB2312" w:hAnsi="仿宋_GB2312" w:eastAsia="仿宋_GB2312" w:cs="仿宋_GB2312"/>
          <w:color w:val="auto"/>
          <w:sz w:val="32"/>
          <w:szCs w:val="32"/>
          <w:highlight w:val="none"/>
          <w:lang w:eastAsia="zh-CN"/>
        </w:rPr>
        <w:t>合理容量</w:t>
      </w:r>
      <w:r>
        <w:rPr>
          <w:rFonts w:hint="eastAsia" w:ascii="仿宋_GB2312" w:hAnsi="仿宋_GB2312" w:eastAsia="仿宋_GB2312" w:cs="仿宋_GB2312"/>
          <w:color w:val="auto"/>
          <w:sz w:val="32"/>
          <w:szCs w:val="32"/>
          <w:highlight w:val="none"/>
        </w:rPr>
        <w:t>。</w:t>
      </w:r>
    </w:p>
    <w:p>
      <w:pPr>
        <w:numPr>
          <w:ilvl w:val="0"/>
          <w:numId w:val="0"/>
        </w:numPr>
        <w:spacing w:line="64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饱和区内不再审批发放新的烟草专卖零售许可证</w:t>
      </w:r>
      <w:r>
        <w:rPr>
          <w:rFonts w:hint="eastAsia" w:ascii="仿宋_GB2312" w:hAnsi="仿宋_GB2312" w:eastAsia="仿宋_GB2312" w:cs="仿宋_GB2312"/>
          <w:color w:val="auto"/>
          <w:sz w:val="32"/>
          <w:szCs w:val="32"/>
          <w:highlight w:val="none"/>
          <w:lang w:eastAsia="zh-CN"/>
        </w:rPr>
        <w:t>；发展区按照公示的办证名额发放烟草专卖零售许可证，办证名额使用完毕后视同饱和区，不再审批发放新的烟草专卖零售许可证</w:t>
      </w:r>
      <w:r>
        <w:rPr>
          <w:rFonts w:hint="eastAsia" w:ascii="仿宋_GB2312" w:hAnsi="仿宋_GB2312" w:eastAsia="仿宋_GB2312" w:cs="仿宋_GB2312"/>
          <w:color w:val="auto"/>
          <w:sz w:val="32"/>
          <w:szCs w:val="32"/>
          <w:highlight w:val="none"/>
        </w:rPr>
        <w:t>。</w:t>
      </w:r>
    </w:p>
    <w:p>
      <w:pPr>
        <w:numPr>
          <w:ilvl w:val="0"/>
          <w:numId w:val="0"/>
        </w:numPr>
        <w:spacing w:line="640" w:lineRule="exact"/>
        <w:ind w:firstLine="640" w:firstLineChars="200"/>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lang w:eastAsia="zh-CN"/>
        </w:rPr>
        <w:t>第十条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对因历史原因</w:t>
      </w:r>
      <w:r>
        <w:rPr>
          <w:rFonts w:hint="eastAsia" w:ascii="仿宋_GB2312" w:hAnsi="仿宋_GB2312" w:eastAsia="仿宋_GB2312" w:cs="仿宋_GB2312"/>
          <w:color w:val="auto"/>
          <w:sz w:val="32"/>
          <w:szCs w:val="32"/>
          <w:highlight w:val="none"/>
          <w:lang w:eastAsia="zh-CN"/>
        </w:rPr>
        <w:t>零售点数量</w:t>
      </w:r>
      <w:r>
        <w:rPr>
          <w:rFonts w:hint="eastAsia" w:ascii="仿宋_GB2312" w:hAnsi="仿宋_GB2312" w:eastAsia="仿宋_GB2312" w:cs="仿宋_GB2312"/>
          <w:color w:val="auto"/>
          <w:sz w:val="32"/>
          <w:szCs w:val="32"/>
          <w:highlight w:val="none"/>
        </w:rPr>
        <w:t>超出</w:t>
      </w:r>
      <w:r>
        <w:rPr>
          <w:rFonts w:hint="eastAsia" w:ascii="仿宋_GB2312" w:hAnsi="仿宋_GB2312" w:eastAsia="仿宋_GB2312" w:cs="仿宋_GB2312"/>
          <w:color w:val="auto"/>
          <w:sz w:val="32"/>
          <w:szCs w:val="32"/>
          <w:highlight w:val="none"/>
          <w:lang w:eastAsia="zh-CN"/>
        </w:rPr>
        <w:t>合理容量的网格</w:t>
      </w:r>
      <w:r>
        <w:rPr>
          <w:rFonts w:hint="eastAsia" w:ascii="仿宋_GB2312" w:hAnsi="仿宋_GB2312" w:eastAsia="仿宋_GB2312" w:cs="仿宋_GB2312"/>
          <w:color w:val="auto"/>
          <w:sz w:val="32"/>
          <w:szCs w:val="32"/>
          <w:highlight w:val="none"/>
        </w:rPr>
        <w:t>单元，采取自然淘汰</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rPr>
        <w:t>方式逐步调整优化。同时，</w:t>
      </w:r>
      <w:r>
        <w:rPr>
          <w:rFonts w:hint="eastAsia" w:ascii="仿宋_GB2312" w:hAnsi="仿宋_GB2312" w:eastAsia="仿宋_GB2312" w:cs="仿宋_GB2312"/>
          <w:color w:val="auto"/>
          <w:sz w:val="32"/>
          <w:szCs w:val="32"/>
          <w:highlight w:val="none"/>
          <w:lang w:val="en-US" w:eastAsia="zh-CN"/>
        </w:rPr>
        <w:t>新华区</w:t>
      </w:r>
      <w:r>
        <w:rPr>
          <w:rFonts w:hint="eastAsia" w:ascii="仿宋_GB2312" w:hAnsi="仿宋_GB2312" w:eastAsia="仿宋_GB2312" w:cs="仿宋_GB2312"/>
          <w:color w:val="auto"/>
          <w:sz w:val="32"/>
          <w:szCs w:val="32"/>
          <w:highlight w:val="none"/>
        </w:rPr>
        <w:t>烟草专卖局可根据人口数量、交通情况、经济发展水平、消费能力等实际情况，对</w:t>
      </w:r>
      <w:r>
        <w:rPr>
          <w:rFonts w:hint="eastAsia" w:ascii="仿宋_GB2312" w:hAnsi="仿宋_GB2312" w:eastAsia="仿宋_GB2312" w:cs="仿宋_GB2312"/>
          <w:color w:val="auto"/>
          <w:sz w:val="32"/>
          <w:szCs w:val="32"/>
          <w:highlight w:val="none"/>
          <w:lang w:eastAsia="zh-CN"/>
        </w:rPr>
        <w:t>网格</w:t>
      </w:r>
      <w:r>
        <w:rPr>
          <w:rFonts w:hint="eastAsia" w:ascii="仿宋_GB2312" w:hAnsi="仿宋_GB2312" w:eastAsia="仿宋_GB2312" w:cs="仿宋_GB2312"/>
          <w:color w:val="auto"/>
          <w:sz w:val="32"/>
          <w:szCs w:val="32"/>
          <w:highlight w:val="none"/>
        </w:rPr>
        <w:t>单元</w:t>
      </w:r>
      <w:r>
        <w:rPr>
          <w:rFonts w:hint="eastAsia" w:ascii="仿宋_GB2312" w:hAnsi="仿宋_GB2312" w:eastAsia="仿宋_GB2312" w:cs="仿宋_GB2312"/>
          <w:color w:val="auto"/>
          <w:sz w:val="32"/>
          <w:szCs w:val="32"/>
          <w:highlight w:val="none"/>
          <w:lang w:eastAsia="zh-CN"/>
        </w:rPr>
        <w:t>合理容量进行</w:t>
      </w:r>
      <w:r>
        <w:rPr>
          <w:rFonts w:hint="eastAsia" w:ascii="仿宋_GB2312" w:hAnsi="仿宋_GB2312" w:eastAsia="仿宋_GB2312" w:cs="仿宋_GB2312"/>
          <w:color w:val="auto"/>
          <w:sz w:val="32"/>
          <w:szCs w:val="32"/>
          <w:highlight w:val="none"/>
        </w:rPr>
        <w:t>动态调整</w:t>
      </w:r>
      <w:r>
        <w:rPr>
          <w:rFonts w:hint="eastAsia" w:ascii="仿宋_GB2312" w:hAnsi="仿宋_GB2312" w:eastAsia="仿宋_GB2312" w:cs="仿宋_GB2312"/>
          <w:color w:val="auto"/>
          <w:sz w:val="32"/>
          <w:szCs w:val="32"/>
          <w:highlight w:val="none"/>
          <w:lang w:eastAsia="zh-CN"/>
        </w:rPr>
        <w:t>，调整情况按规定进行公示后实施</w:t>
      </w:r>
      <w:r>
        <w:rPr>
          <w:rFonts w:hint="eastAsia" w:ascii="仿宋_GB2312" w:hAnsi="仿宋_GB2312" w:eastAsia="仿宋_GB2312" w:cs="仿宋_GB2312"/>
          <w:color w:val="auto"/>
          <w:sz w:val="32"/>
          <w:szCs w:val="32"/>
          <w:highlight w:val="none"/>
        </w:rPr>
        <w:t>。</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color w:val="auto"/>
          <w:sz w:val="32"/>
          <w:szCs w:val="32"/>
          <w:highlight w:val="none"/>
          <w:lang w:eastAsia="zh-Hans"/>
        </w:rPr>
      </w:pPr>
      <w:r>
        <w:rPr>
          <w:rFonts w:hint="eastAsia" w:ascii="黑体" w:hAnsi="黑体" w:eastAsia="黑体" w:cs="仿宋_GB2312"/>
          <w:color w:val="auto"/>
          <w:sz w:val="32"/>
          <w:szCs w:val="32"/>
          <w:highlight w:val="none"/>
          <w:lang w:eastAsia="zh-Hans"/>
        </w:rPr>
        <w:t>第十</w:t>
      </w:r>
      <w:r>
        <w:rPr>
          <w:rFonts w:hint="eastAsia" w:ascii="黑体" w:hAnsi="黑体" w:eastAsia="黑体" w:cs="仿宋_GB2312"/>
          <w:color w:val="auto"/>
          <w:sz w:val="32"/>
          <w:szCs w:val="32"/>
          <w:highlight w:val="none"/>
          <w:lang w:eastAsia="zh-CN"/>
        </w:rPr>
        <w:t>一</w:t>
      </w:r>
      <w:r>
        <w:rPr>
          <w:rFonts w:hint="eastAsia" w:ascii="黑体" w:hAnsi="黑体" w:eastAsia="黑体" w:cs="仿宋_GB2312"/>
          <w:color w:val="auto"/>
          <w:sz w:val="32"/>
          <w:szCs w:val="32"/>
          <w:highlight w:val="none"/>
          <w:lang w:eastAsia="zh-Hans"/>
        </w:rPr>
        <w:t>条</w:t>
      </w:r>
      <w:r>
        <w:rPr>
          <w:rFonts w:hint="eastAsia" w:ascii="仿宋_GB2312" w:hAnsi="仿宋_GB2312" w:eastAsia="仿宋_GB2312" w:cs="仿宋_GB2312"/>
          <w:color w:val="auto"/>
          <w:sz w:val="32"/>
          <w:szCs w:val="32"/>
          <w:highlight w:val="none"/>
          <w:lang w:eastAsia="zh-Hans"/>
        </w:rPr>
        <w:t xml:space="preserve">  </w:t>
      </w:r>
      <w:r>
        <w:rPr>
          <w:rFonts w:hint="eastAsia" w:ascii="仿宋_GB2312" w:hAnsi="仿宋_GB2312" w:eastAsia="仿宋_GB2312" w:cs="仿宋_GB2312"/>
          <w:color w:val="auto"/>
          <w:sz w:val="32"/>
          <w:szCs w:val="32"/>
          <w:highlight w:val="none"/>
        </w:rPr>
        <w:t>区域单元规划</w:t>
      </w:r>
      <w:r>
        <w:rPr>
          <w:rFonts w:hint="eastAsia" w:ascii="仿宋_GB2312" w:hAnsi="仿宋_GB2312" w:eastAsia="仿宋_GB2312" w:cs="仿宋_GB2312"/>
          <w:color w:val="auto"/>
          <w:sz w:val="32"/>
          <w:szCs w:val="32"/>
          <w:highlight w:val="none"/>
          <w:lang w:eastAsia="zh-Hans"/>
        </w:rPr>
        <w:t>标准：</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aps w:val="0"/>
          <w:color w:val="auto"/>
          <w:spacing w:val="0"/>
          <w:sz w:val="21"/>
          <w:szCs w:val="21"/>
          <w:highlight w:val="none"/>
        </w:rPr>
      </w:pP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w:t>
      </w: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一</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）封闭式居民住宅生活小区（含城中村改造的小区）和单位住宅生活小区内，户数在200户以下的，可设置1个零售点；每增加200户，可增设1个零售点，以此类推。</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pP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毗邻街道的小区门面，门面朝向小区内经营的，依照前款规定办理</w:t>
      </w: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，不受间距要求限制</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。门面朝向小区外经营的，不受小区户数限制，按照所在街道地域间距</w:t>
      </w: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30米</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要求办理，且不占用小区内办证名额。贯通小区和街道同时朝内朝外经营的门面，在满足前款要求的基础上，按街道间距</w:t>
      </w: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30米要求</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办理，且占用小区内办证名额，也作为街道其他零售点办证的参照物。</w:t>
      </w: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门面朝向小区内经营的零售点与小区外经营的零售点彼此不作为办证的参照物。</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非封闭式小区的零售点应符合所处街道间距</w:t>
      </w: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30米的</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要求。</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仿宋_GB2312" w:hAnsi="Calibri" w:eastAsia="仿宋_GB2312" w:cs="仿宋_GB2312"/>
          <w:b w:val="0"/>
          <w:bCs w:val="0"/>
          <w:i w:val="0"/>
          <w:iCs w:val="0"/>
          <w:caps w:val="0"/>
          <w:color w:val="auto"/>
          <w:spacing w:val="0"/>
          <w:kern w:val="0"/>
          <w:sz w:val="32"/>
          <w:szCs w:val="32"/>
          <w:highlight w:val="none"/>
          <w:shd w:val="clear" w:color="auto" w:fill="FFFFFF"/>
          <w:lang w:val="en-US" w:eastAsia="zh-CN" w:bidi="ar"/>
        </w:rPr>
      </w:pPr>
      <w:r>
        <w:rPr>
          <w:rFonts w:hint="default" w:ascii="仿宋_GB2312" w:hAnsi="Calibri" w:eastAsia="仿宋_GB2312" w:cs="仿宋_GB2312"/>
          <w:b w:val="0"/>
          <w:bCs w:val="0"/>
          <w:i w:val="0"/>
          <w:iCs w:val="0"/>
          <w:caps w:val="0"/>
          <w:color w:val="auto"/>
          <w:spacing w:val="0"/>
          <w:kern w:val="0"/>
          <w:sz w:val="32"/>
          <w:szCs w:val="32"/>
          <w:highlight w:val="none"/>
          <w:shd w:val="clear" w:color="auto" w:fill="FFFFFF"/>
          <w:lang w:val="en-US" w:eastAsia="zh-CN" w:bidi="ar"/>
        </w:rPr>
        <w:t>（</w:t>
      </w:r>
      <w:r>
        <w:rPr>
          <w:rFonts w:hint="eastAsia" w:ascii="仿宋_GB2312" w:hAnsi="Calibri" w:eastAsia="仿宋_GB2312" w:cs="仿宋_GB2312"/>
          <w:b w:val="0"/>
          <w:bCs w:val="0"/>
          <w:i w:val="0"/>
          <w:iCs w:val="0"/>
          <w:caps w:val="0"/>
          <w:color w:val="auto"/>
          <w:spacing w:val="0"/>
          <w:kern w:val="0"/>
          <w:sz w:val="32"/>
          <w:szCs w:val="32"/>
          <w:highlight w:val="none"/>
          <w:shd w:val="clear" w:color="auto" w:fill="FFFFFF"/>
          <w:lang w:val="en-US" w:eastAsia="zh-CN" w:bidi="ar"/>
        </w:rPr>
        <w:t>二</w:t>
      </w:r>
      <w:r>
        <w:rPr>
          <w:rFonts w:hint="default" w:ascii="仿宋_GB2312" w:hAnsi="Calibri" w:eastAsia="仿宋_GB2312" w:cs="仿宋_GB2312"/>
          <w:b w:val="0"/>
          <w:bCs w:val="0"/>
          <w:i w:val="0"/>
          <w:iCs w:val="0"/>
          <w:caps w:val="0"/>
          <w:color w:val="auto"/>
          <w:spacing w:val="0"/>
          <w:kern w:val="0"/>
          <w:sz w:val="32"/>
          <w:szCs w:val="32"/>
          <w:highlight w:val="none"/>
          <w:shd w:val="clear" w:color="auto" w:fill="FFFFFF"/>
          <w:lang w:val="en-US" w:eastAsia="zh-CN" w:bidi="ar"/>
        </w:rPr>
        <w:t>）</w:t>
      </w:r>
      <w:r>
        <w:rPr>
          <w:rFonts w:hint="eastAsia" w:ascii="仿宋_GB2312" w:hAnsi="Calibri" w:eastAsia="仿宋_GB2312" w:cs="仿宋_GB2312"/>
          <w:b w:val="0"/>
          <w:bCs w:val="0"/>
          <w:i w:val="0"/>
          <w:iCs w:val="0"/>
          <w:caps w:val="0"/>
          <w:color w:val="auto"/>
          <w:spacing w:val="0"/>
          <w:kern w:val="0"/>
          <w:sz w:val="32"/>
          <w:szCs w:val="32"/>
          <w:highlight w:val="none"/>
          <w:shd w:val="clear" w:color="auto" w:fill="FFFFFF"/>
          <w:lang w:val="en-US" w:eastAsia="zh-CN" w:bidi="ar"/>
        </w:rPr>
        <w:t>特定场所（区域）标准执行如下：</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pPr>
      <w:r>
        <w:rPr>
          <w:rFonts w:hint="eastAsia" w:ascii="仿宋_GB2312" w:hAnsi="Calibri" w:eastAsia="仿宋_GB2312" w:cs="仿宋_GB2312"/>
          <w:b w:val="0"/>
          <w:bCs w:val="0"/>
          <w:i w:val="0"/>
          <w:iCs w:val="0"/>
          <w:caps w:val="0"/>
          <w:color w:val="auto"/>
          <w:spacing w:val="0"/>
          <w:kern w:val="0"/>
          <w:sz w:val="32"/>
          <w:szCs w:val="32"/>
          <w:highlight w:val="none"/>
          <w:shd w:val="clear" w:color="auto" w:fill="FFFFFF"/>
          <w:lang w:val="en-US" w:eastAsia="zh-CN" w:bidi="ar"/>
        </w:rPr>
        <w:t>1.</w:t>
      </w:r>
      <w:r>
        <w:rPr>
          <w:rFonts w:hint="default" w:ascii="仿宋_GB2312" w:hAnsi="Calibri" w:eastAsia="仿宋_GB2312" w:cs="仿宋_GB2312"/>
          <w:b w:val="0"/>
          <w:bCs w:val="0"/>
          <w:i w:val="0"/>
          <w:iCs w:val="0"/>
          <w:caps w:val="0"/>
          <w:color w:val="auto"/>
          <w:spacing w:val="0"/>
          <w:kern w:val="0"/>
          <w:sz w:val="32"/>
          <w:szCs w:val="32"/>
          <w:highlight w:val="none"/>
          <w:shd w:val="clear" w:color="auto" w:fill="FFFFFF"/>
          <w:lang w:val="en-US" w:eastAsia="zh-CN" w:bidi="ar"/>
        </w:rPr>
        <w:t>各类批发</w:t>
      </w:r>
      <w:r>
        <w:rPr>
          <w:rFonts w:hint="eastAsia" w:ascii="仿宋_GB2312" w:hAnsi="Calibri" w:eastAsia="仿宋_GB2312" w:cs="仿宋_GB2312"/>
          <w:b w:val="0"/>
          <w:bCs w:val="0"/>
          <w:i w:val="0"/>
          <w:iCs w:val="0"/>
          <w:caps w:val="0"/>
          <w:color w:val="auto"/>
          <w:spacing w:val="0"/>
          <w:kern w:val="0"/>
          <w:sz w:val="32"/>
          <w:szCs w:val="32"/>
          <w:highlight w:val="none"/>
          <w:shd w:val="clear" w:color="auto" w:fill="FFFFFF"/>
          <w:lang w:val="en-US" w:eastAsia="zh-CN" w:bidi="ar"/>
        </w:rPr>
        <w:t>市场</w:t>
      </w:r>
      <w:r>
        <w:rPr>
          <w:rFonts w:hint="default" w:ascii="仿宋_GB2312" w:hAnsi="Calibri" w:eastAsia="仿宋_GB2312" w:cs="仿宋_GB2312"/>
          <w:b w:val="0"/>
          <w:bCs w:val="0"/>
          <w:i w:val="0"/>
          <w:iCs w:val="0"/>
          <w:caps w:val="0"/>
          <w:color w:val="auto"/>
          <w:spacing w:val="0"/>
          <w:kern w:val="0"/>
          <w:sz w:val="32"/>
          <w:szCs w:val="32"/>
          <w:highlight w:val="none"/>
          <w:shd w:val="clear" w:color="auto" w:fill="FFFFFF"/>
          <w:lang w:val="en-US" w:eastAsia="zh-CN" w:bidi="ar"/>
        </w:rPr>
        <w:t>、农贸市场、园区（综合或专业）内</w:t>
      </w:r>
      <w:r>
        <w:rPr>
          <w:rFonts w:hint="eastAsia" w:ascii="仿宋_GB2312" w:hAnsi="Calibri" w:eastAsia="仿宋_GB2312" w:cs="仿宋_GB2312"/>
          <w:b w:val="0"/>
          <w:bCs w:val="0"/>
          <w:i w:val="0"/>
          <w:iCs w:val="0"/>
          <w:caps w:val="0"/>
          <w:color w:val="auto"/>
          <w:spacing w:val="0"/>
          <w:kern w:val="0"/>
          <w:sz w:val="32"/>
          <w:szCs w:val="32"/>
          <w:highlight w:val="none"/>
          <w:shd w:val="clear" w:color="auto" w:fill="FFFFFF"/>
          <w:lang w:val="en-US" w:eastAsia="zh-CN" w:bidi="ar"/>
        </w:rPr>
        <w:t>的零售点根据市场（园区）建筑面积设置。建筑面积在3000平米以内的设置1个零售点，3000平米（含）至6000平米设置2个零售点，6000平米（含）至10000平米设置3个零售点，10000平米（含）至20000平米设置4个零售点，20000平米（含）至40000平米设置5个零售点，40000平米（含）至80000平米设置6个零售点，80000平米（含）至150000平米设置7个零售点，150000平米（含）以上的设置8个零售点</w:t>
      </w:r>
      <w:r>
        <w:rPr>
          <w:rFonts w:hint="default" w:ascii="仿宋_GB2312" w:hAnsi="Calibri" w:eastAsia="仿宋_GB2312" w:cs="仿宋_GB2312"/>
          <w:b w:val="0"/>
          <w:bCs w:val="0"/>
          <w:i w:val="0"/>
          <w:iCs w:val="0"/>
          <w:caps w:val="0"/>
          <w:color w:val="auto"/>
          <w:spacing w:val="0"/>
          <w:kern w:val="0"/>
          <w:sz w:val="32"/>
          <w:szCs w:val="32"/>
          <w:highlight w:val="none"/>
          <w:shd w:val="clear" w:color="auto" w:fill="FFFFFF"/>
          <w:lang w:val="en-US" w:eastAsia="zh-CN" w:bidi="ar"/>
        </w:rPr>
        <w:t>。</w:t>
      </w:r>
      <w:r>
        <w:rPr>
          <w:rFonts w:hint="eastAsia" w:ascii="仿宋_GB2312" w:hAnsi="Calibri" w:eastAsia="仿宋_GB2312" w:cs="仿宋_GB2312"/>
          <w:b w:val="0"/>
          <w:bCs w:val="0"/>
          <w:i w:val="0"/>
          <w:iCs w:val="0"/>
          <w:caps w:val="0"/>
          <w:color w:val="auto"/>
          <w:spacing w:val="0"/>
          <w:kern w:val="0"/>
          <w:sz w:val="32"/>
          <w:szCs w:val="32"/>
          <w:highlight w:val="none"/>
          <w:shd w:val="clear" w:color="auto" w:fill="FFFFFF"/>
          <w:lang w:val="en-US" w:eastAsia="zh-CN" w:bidi="ar"/>
        </w:rPr>
        <w:t>市场建筑面积</w:t>
      </w:r>
      <w:r>
        <w:rPr>
          <w:rFonts w:hint="default" w:ascii="仿宋_GB2312" w:hAnsi="Calibri" w:eastAsia="仿宋_GB2312" w:cs="仿宋_GB2312"/>
          <w:b w:val="0"/>
          <w:bCs w:val="0"/>
          <w:i w:val="0"/>
          <w:iCs w:val="0"/>
          <w:caps w:val="0"/>
          <w:color w:val="auto"/>
          <w:spacing w:val="0"/>
          <w:kern w:val="0"/>
          <w:sz w:val="32"/>
          <w:szCs w:val="32"/>
          <w:highlight w:val="none"/>
          <w:shd w:val="clear" w:color="auto" w:fill="FFFFFF"/>
          <w:lang w:val="en-US" w:eastAsia="zh-CN" w:bidi="ar"/>
        </w:rPr>
        <w:t>由市场管理部</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门或市场监管部门</w:t>
      </w: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出具</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w:t>
      </w: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零售点</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不能为敞开式的临时摊位。</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pP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店门仅</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朝向市场</w:t>
      </w: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（园区）</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内经营的，依照前款</w:t>
      </w: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数量要求</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办理</w:t>
      </w: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，无零售点的间距限制</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w:t>
      </w: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店门朝向市场（园区）外经营的，不受市场（园区）零售点数量限制，按照零售点间距30米要求办理，且不占用市场（园区）内的零售点名额。贯通市场（园区）内外，</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同时朝内朝外经营的，在满足前款</w:t>
      </w: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数量</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要求的基础上，</w:t>
      </w: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朝市场（园区）外的店门应距离最近烟草制品零售点不低于30米</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w:t>
      </w: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既</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占用市场</w:t>
      </w: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（园区）</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内办证的名额，也作为街道其他零售点办证的参照物。</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pP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2.</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高等职业学院、大学的学生、教职工数量按校区计算，本校区内在3000人以下的可设置1个零售点，3000人以上的，每增加2000人，可增设1个零售点，本校区内零售点总数量不超过</w:t>
      </w: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8</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个。</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aps w:val="0"/>
          <w:color w:val="auto"/>
          <w:spacing w:val="0"/>
          <w:sz w:val="21"/>
          <w:szCs w:val="21"/>
          <w:highlight w:val="none"/>
        </w:rPr>
      </w:pP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3.</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实际营业面积在2000㎡以上的宾馆、饭店、商场、超市</w:t>
      </w: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等内部区域</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可设置1个零售点，且不受间距限制，也不作为其他申办点间距的参照物。</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Calibri" w:hAnsi="Calibri" w:cs="Calibri"/>
          <w:i w:val="0"/>
          <w:iCs w:val="0"/>
          <w:caps w:val="0"/>
          <w:color w:val="auto"/>
          <w:spacing w:val="0"/>
          <w:sz w:val="21"/>
          <w:szCs w:val="21"/>
          <w:highlight w:val="none"/>
        </w:rPr>
      </w:pP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4.</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部队营区、看守所、拘留所、监狱、戒毒所等特殊场所对内经营的，可以设置1个零售点，并接受烟草专卖局检查管理。</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仿宋_GB2312" w:hAnsi="Calibri" w:eastAsia="仿宋_GB2312" w:cs="仿宋_GB2312"/>
          <w:b w:val="0"/>
          <w:bCs w:val="0"/>
          <w:i w:val="0"/>
          <w:iCs w:val="0"/>
          <w:caps w:val="0"/>
          <w:color w:val="auto"/>
          <w:spacing w:val="0"/>
          <w:kern w:val="0"/>
          <w:sz w:val="32"/>
          <w:szCs w:val="32"/>
          <w:highlight w:val="none"/>
          <w:shd w:val="clear" w:color="auto" w:fill="FFFFFF"/>
          <w:lang w:val="en-US" w:eastAsia="zh-CN" w:bidi="ar"/>
        </w:rPr>
      </w:pP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5.</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长途汽车站、火车站、地铁等各类交通枢纽内设置零售点间距不低于</w:t>
      </w:r>
      <w:r>
        <w:rPr>
          <w:rFonts w:hint="default" w:ascii="仿宋_GB2312" w:hAnsi="Calibri" w:eastAsia="仿宋_GB2312" w:cs="仿宋_GB2312"/>
          <w:b w:val="0"/>
          <w:bCs w:val="0"/>
          <w:i w:val="0"/>
          <w:iCs w:val="0"/>
          <w:caps w:val="0"/>
          <w:color w:val="auto"/>
          <w:spacing w:val="0"/>
          <w:kern w:val="0"/>
          <w:sz w:val="32"/>
          <w:szCs w:val="32"/>
          <w:highlight w:val="none"/>
          <w:shd w:val="clear" w:color="auto" w:fill="FFFFFF"/>
          <w:lang w:val="en-US" w:eastAsia="zh-CN" w:bidi="ar"/>
        </w:rPr>
        <w:t>15米。</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pP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6.</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旅游景区(指能够满足游客游览观光、消遣娱乐的旅游需求，有明确边界和统一封闭式管理的区域内部)可设置2个零售点。</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firstLine="640" w:firstLineChars="200"/>
        <w:jc w:val="left"/>
        <w:textAlignment w:val="auto"/>
        <w:rPr>
          <w:rFonts w:hint="default" w:ascii="仿宋_GB2312" w:hAnsi="Calibri" w:eastAsia="仿宋_GB2312" w:cs="仿宋_GB2312"/>
          <w:b w:val="0"/>
          <w:bCs w:val="0"/>
          <w:i w:val="0"/>
          <w:iCs w:val="0"/>
          <w:caps w:val="0"/>
          <w:color w:val="auto"/>
          <w:spacing w:val="0"/>
          <w:kern w:val="0"/>
          <w:sz w:val="32"/>
          <w:szCs w:val="32"/>
          <w:highlight w:val="none"/>
          <w:shd w:val="clear" w:color="auto" w:fill="FFFFFF"/>
          <w:lang w:val="en-US" w:eastAsia="zh-CN" w:bidi="ar"/>
        </w:rPr>
      </w:pPr>
      <w:r>
        <w:rPr>
          <w:rFonts w:ascii="仿宋_GB2312" w:hAnsi="Calibri" w:eastAsia="仿宋_GB2312" w:cs="仿宋_GB2312"/>
          <w:i w:val="0"/>
          <w:iCs w:val="0"/>
          <w:caps w:val="0"/>
          <w:color w:val="auto"/>
          <w:spacing w:val="0"/>
          <w:kern w:val="0"/>
          <w:sz w:val="32"/>
          <w:szCs w:val="32"/>
          <w:highlight w:val="none"/>
          <w:shd w:val="clear" w:color="auto" w:fill="FFFFFF"/>
          <w:lang w:val="en-US" w:eastAsia="zh-CN" w:bidi="ar"/>
        </w:rPr>
        <w:t>（</w:t>
      </w: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三</w:t>
      </w:r>
      <w:r>
        <w:rPr>
          <w:rFonts w:ascii="仿宋_GB2312" w:hAnsi="Calibri" w:eastAsia="仿宋_GB2312" w:cs="仿宋_GB2312"/>
          <w:i w:val="0"/>
          <w:iCs w:val="0"/>
          <w:caps w:val="0"/>
          <w:color w:val="auto"/>
          <w:spacing w:val="0"/>
          <w:kern w:val="0"/>
          <w:sz w:val="32"/>
          <w:szCs w:val="32"/>
          <w:highlight w:val="none"/>
          <w:shd w:val="clear" w:color="auto" w:fill="FFFFFF"/>
          <w:lang w:val="en-US" w:eastAsia="zh-CN" w:bidi="ar"/>
        </w:rPr>
        <w:t>）</w:t>
      </w:r>
      <w:r>
        <w:rPr>
          <w:rFonts w:hint="eastAsia" w:ascii="仿宋_GB2312" w:hAnsi="Calibri" w:eastAsia="仿宋_GB2312" w:cs="仿宋_GB2312"/>
          <w:i w:val="0"/>
          <w:iCs w:val="0"/>
          <w:caps w:val="0"/>
          <w:color w:val="auto"/>
          <w:spacing w:val="0"/>
          <w:kern w:val="0"/>
          <w:sz w:val="32"/>
          <w:szCs w:val="32"/>
          <w:highlight w:val="none"/>
          <w:shd w:val="clear" w:color="auto" w:fill="FFFFFF"/>
          <w:lang w:val="en-US" w:eastAsia="zh-CN" w:bidi="ar"/>
        </w:rPr>
        <w:t>除本条规定（一）、（二）涉及区域以外的其它区域，</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新申办烟草制品零售点与已持有烟草专卖零售许可证的零售点间距不</w:t>
      </w:r>
      <w:r>
        <w:rPr>
          <w:rFonts w:hint="default" w:ascii="仿宋_GB2312" w:hAnsi="Calibri" w:eastAsia="仿宋_GB2312" w:cs="仿宋_GB2312"/>
          <w:b w:val="0"/>
          <w:bCs w:val="0"/>
          <w:i w:val="0"/>
          <w:iCs w:val="0"/>
          <w:caps w:val="0"/>
          <w:color w:val="auto"/>
          <w:spacing w:val="0"/>
          <w:kern w:val="0"/>
          <w:sz w:val="32"/>
          <w:szCs w:val="32"/>
          <w:highlight w:val="none"/>
          <w:shd w:val="clear" w:color="auto" w:fill="FFFFFF"/>
          <w:lang w:val="en-US" w:eastAsia="zh-CN" w:bidi="ar"/>
        </w:rPr>
        <w:t>低于30米。</w:t>
      </w:r>
    </w:p>
    <w:p>
      <w:pPr>
        <w:numPr>
          <w:ilvl w:val="0"/>
          <w:numId w:val="0"/>
        </w:numPr>
        <w:spacing w:line="640" w:lineRule="exact"/>
        <w:ind w:firstLine="640" w:firstLineChars="200"/>
        <w:rPr>
          <w:rFonts w:hint="eastAsia" w:ascii="仿宋_GB2312" w:hAnsi="仿宋_GB2312" w:eastAsia="仿宋_GB2312" w:cs="仿宋_GB2312"/>
          <w:b w:val="0"/>
          <w:bCs w:val="0"/>
          <w:color w:val="auto"/>
          <w:sz w:val="32"/>
          <w:szCs w:val="32"/>
          <w:highlight w:val="none"/>
          <w:shd w:val="clear" w:color="auto" w:fill="auto"/>
          <w:lang w:val="en-US" w:eastAsia="zh-Hans"/>
        </w:rPr>
      </w:pPr>
      <w:r>
        <w:rPr>
          <w:rFonts w:hint="eastAsia" w:ascii="黑体" w:hAnsi="黑体" w:eastAsia="黑体" w:cs="仿宋_GB2312"/>
          <w:color w:val="auto"/>
          <w:sz w:val="32"/>
          <w:szCs w:val="32"/>
          <w:highlight w:val="none"/>
          <w:lang w:eastAsia="zh-Hans"/>
        </w:rPr>
        <w:t>第十</w:t>
      </w:r>
      <w:r>
        <w:rPr>
          <w:rFonts w:hint="eastAsia" w:ascii="黑体" w:hAnsi="黑体" w:eastAsia="黑体" w:cs="仿宋_GB2312"/>
          <w:color w:val="auto"/>
          <w:sz w:val="32"/>
          <w:szCs w:val="32"/>
          <w:highlight w:val="none"/>
          <w:lang w:eastAsia="zh-CN"/>
        </w:rPr>
        <w:t>二</w:t>
      </w:r>
      <w:r>
        <w:rPr>
          <w:rFonts w:hint="eastAsia" w:ascii="黑体" w:hAnsi="黑体" w:eastAsia="黑体" w:cs="仿宋_GB2312"/>
          <w:color w:val="auto"/>
          <w:sz w:val="32"/>
          <w:szCs w:val="32"/>
          <w:highlight w:val="none"/>
          <w:lang w:eastAsia="zh-Hans"/>
        </w:rPr>
        <w:t>条</w:t>
      </w:r>
      <w:r>
        <w:rPr>
          <w:rFonts w:hint="eastAsia" w:ascii="仿宋_GB2312" w:hAnsi="Calibri" w:eastAsia="仿宋_GB2312" w:cs="仿宋_GB2312"/>
          <w:b w:val="0"/>
          <w:bCs w:val="0"/>
          <w:i w:val="0"/>
          <w:iCs w:val="0"/>
          <w:caps w:val="0"/>
          <w:color w:val="auto"/>
          <w:spacing w:val="0"/>
          <w:kern w:val="0"/>
          <w:sz w:val="32"/>
          <w:szCs w:val="32"/>
          <w:highlight w:val="none"/>
          <w:shd w:val="clear" w:color="auto" w:fill="FFFFFF"/>
          <w:lang w:val="en-US" w:eastAsia="zh-CN" w:bidi="ar"/>
        </w:rPr>
        <w:t xml:space="preserve">  </w:t>
      </w:r>
      <w:r>
        <w:rPr>
          <w:rFonts w:hint="eastAsia" w:ascii="仿宋_GB2312" w:hAnsi="仿宋_GB2312" w:eastAsia="仿宋_GB2312" w:cs="仿宋_GB2312"/>
          <w:b w:val="0"/>
          <w:bCs w:val="0"/>
          <w:color w:val="auto"/>
          <w:sz w:val="32"/>
          <w:szCs w:val="32"/>
          <w:highlight w:val="none"/>
          <w:shd w:val="clear" w:color="auto" w:fill="auto"/>
          <w:lang w:val="en-US" w:eastAsia="zh-CN"/>
        </w:rPr>
        <w:t>其他业态发证要求：根据《零售业态分类》国家标准（GB/T18106-2021）及《中国卷烟销售公司关于进一步加强烟草零售户基础信息管理工作的通知》（中烟销网﹝2022﹞26号）的规定，不能归属“便利店”“超市”“商场”“烟草专业店”“娱乐服务类”业态类型的，应当归属“其他”业态；“其他”业态持证数量不超过本辖区持证总户数1%，每季度在公示办证名额时，需要公示本季度“其他”业态可办名额。</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b w:val="0"/>
          <w:bCs w:val="0"/>
          <w:color w:val="auto"/>
          <w:sz w:val="32"/>
          <w:szCs w:val="32"/>
          <w:highlight w:val="none"/>
          <w:shd w:val="clear" w:color="auto" w:fill="auto"/>
          <w:lang w:eastAsia="zh-Hans"/>
        </w:rPr>
      </w:pPr>
      <w:r>
        <w:rPr>
          <w:rFonts w:hint="eastAsia" w:ascii="黑体" w:hAnsi="黑体" w:eastAsia="黑体" w:cs="仿宋_GB2312"/>
          <w:b w:val="0"/>
          <w:bCs w:val="0"/>
          <w:color w:val="auto"/>
          <w:sz w:val="32"/>
          <w:szCs w:val="32"/>
          <w:highlight w:val="none"/>
          <w:shd w:val="clear" w:color="auto" w:fill="auto"/>
          <w:lang w:eastAsia="zh-Hans"/>
        </w:rPr>
        <w:t>第十</w:t>
      </w:r>
      <w:r>
        <w:rPr>
          <w:rFonts w:hint="eastAsia" w:ascii="黑体" w:hAnsi="黑体" w:eastAsia="黑体" w:cs="仿宋_GB2312"/>
          <w:b w:val="0"/>
          <w:bCs w:val="0"/>
          <w:color w:val="auto"/>
          <w:sz w:val="32"/>
          <w:szCs w:val="32"/>
          <w:highlight w:val="none"/>
          <w:shd w:val="clear" w:color="auto" w:fill="auto"/>
          <w:lang w:eastAsia="zh-CN"/>
        </w:rPr>
        <w:t>三</w:t>
      </w:r>
      <w:r>
        <w:rPr>
          <w:rFonts w:hint="eastAsia" w:ascii="黑体" w:hAnsi="黑体" w:eastAsia="黑体" w:cs="仿宋_GB2312"/>
          <w:b w:val="0"/>
          <w:bCs w:val="0"/>
          <w:color w:val="auto"/>
          <w:sz w:val="32"/>
          <w:szCs w:val="32"/>
          <w:highlight w:val="none"/>
          <w:shd w:val="clear" w:color="auto" w:fill="auto"/>
          <w:lang w:eastAsia="zh-Hans"/>
        </w:rPr>
        <w:t>条</w:t>
      </w:r>
      <w:r>
        <w:rPr>
          <w:rFonts w:hint="eastAsia" w:ascii="仿宋_GB2312" w:hAnsi="仿宋_GB2312" w:eastAsia="仿宋_GB2312" w:cs="仿宋_GB2312"/>
          <w:b w:val="0"/>
          <w:bCs w:val="0"/>
          <w:color w:val="auto"/>
          <w:sz w:val="32"/>
          <w:szCs w:val="32"/>
          <w:highlight w:val="none"/>
          <w:shd w:val="clear" w:color="auto" w:fill="auto"/>
          <w:lang w:eastAsia="zh-Hans"/>
        </w:rPr>
        <w:t xml:space="preserve">  有下列情形</w:t>
      </w:r>
      <w:r>
        <w:rPr>
          <w:rFonts w:hint="eastAsia" w:ascii="仿宋_GB2312" w:hAnsi="仿宋_GB2312" w:eastAsia="仿宋_GB2312" w:cs="仿宋_GB2312"/>
          <w:b w:val="0"/>
          <w:bCs w:val="0"/>
          <w:color w:val="auto"/>
          <w:sz w:val="32"/>
          <w:szCs w:val="32"/>
          <w:highlight w:val="none"/>
          <w:shd w:val="clear" w:color="auto" w:fill="auto"/>
        </w:rPr>
        <w:t>之一</w:t>
      </w:r>
      <w:r>
        <w:rPr>
          <w:rFonts w:hint="eastAsia" w:ascii="仿宋_GB2312" w:hAnsi="仿宋_GB2312" w:eastAsia="仿宋_GB2312" w:cs="仿宋_GB2312"/>
          <w:b w:val="0"/>
          <w:bCs w:val="0"/>
          <w:color w:val="auto"/>
          <w:sz w:val="32"/>
          <w:szCs w:val="32"/>
          <w:highlight w:val="none"/>
          <w:shd w:val="clear" w:color="auto" w:fill="auto"/>
          <w:lang w:eastAsia="zh-Hans"/>
        </w:rPr>
        <w:t>的，</w:t>
      </w:r>
      <w:r>
        <w:rPr>
          <w:rFonts w:hint="eastAsia" w:ascii="仿宋_GB2312" w:hAnsi="仿宋_GB2312" w:eastAsia="仿宋_GB2312" w:cs="仿宋_GB2312"/>
          <w:b w:val="0"/>
          <w:bCs w:val="0"/>
          <w:color w:val="auto"/>
          <w:sz w:val="32"/>
          <w:szCs w:val="32"/>
          <w:highlight w:val="none"/>
          <w:shd w:val="clear" w:color="auto" w:fill="auto"/>
        </w:rPr>
        <w:t>依法</w:t>
      </w:r>
      <w:r>
        <w:rPr>
          <w:rFonts w:hint="eastAsia" w:ascii="仿宋_GB2312" w:hAnsi="仿宋_GB2312" w:eastAsia="仿宋_GB2312" w:cs="仿宋_GB2312"/>
          <w:b w:val="0"/>
          <w:bCs w:val="0"/>
          <w:color w:val="auto"/>
          <w:sz w:val="32"/>
          <w:szCs w:val="32"/>
          <w:highlight w:val="none"/>
          <w:shd w:val="clear" w:color="auto" w:fill="auto"/>
          <w:lang w:eastAsia="zh-Hans"/>
        </w:rPr>
        <w:t>不予</w:t>
      </w:r>
      <w:r>
        <w:rPr>
          <w:rFonts w:hint="eastAsia" w:ascii="仿宋_GB2312" w:hAnsi="仿宋_GB2312" w:eastAsia="仿宋_GB2312" w:cs="仿宋_GB2312"/>
          <w:b w:val="0"/>
          <w:bCs w:val="0"/>
          <w:color w:val="auto"/>
          <w:sz w:val="32"/>
          <w:szCs w:val="32"/>
          <w:highlight w:val="none"/>
          <w:shd w:val="clear" w:color="auto" w:fill="auto"/>
        </w:rPr>
        <w:t>核发</w:t>
      </w:r>
      <w:r>
        <w:rPr>
          <w:rFonts w:hint="eastAsia" w:ascii="仿宋_GB2312" w:hAnsi="仿宋_GB2312" w:eastAsia="仿宋_GB2312" w:cs="仿宋_GB2312"/>
          <w:b w:val="0"/>
          <w:bCs w:val="0"/>
          <w:color w:val="auto"/>
          <w:sz w:val="32"/>
          <w:szCs w:val="32"/>
          <w:highlight w:val="none"/>
          <w:shd w:val="clear" w:color="auto" w:fill="auto"/>
          <w:lang w:eastAsia="zh-Hans"/>
        </w:rPr>
        <w:t>烟草</w:t>
      </w:r>
      <w:r>
        <w:rPr>
          <w:rFonts w:hint="eastAsia" w:ascii="仿宋_GB2312" w:hAnsi="仿宋_GB2312" w:eastAsia="仿宋_GB2312" w:cs="仿宋_GB2312"/>
          <w:b w:val="0"/>
          <w:bCs w:val="0"/>
          <w:color w:val="auto"/>
          <w:sz w:val="32"/>
          <w:szCs w:val="32"/>
          <w:highlight w:val="none"/>
          <w:shd w:val="clear" w:color="auto" w:fill="auto"/>
        </w:rPr>
        <w:t>专卖</w:t>
      </w:r>
      <w:r>
        <w:rPr>
          <w:rFonts w:hint="eastAsia" w:ascii="仿宋_GB2312" w:hAnsi="仿宋_GB2312" w:eastAsia="仿宋_GB2312" w:cs="仿宋_GB2312"/>
          <w:b w:val="0"/>
          <w:bCs w:val="0"/>
          <w:color w:val="auto"/>
          <w:sz w:val="32"/>
          <w:szCs w:val="32"/>
          <w:highlight w:val="none"/>
          <w:shd w:val="clear" w:color="auto" w:fill="auto"/>
          <w:lang w:eastAsia="zh-Hans"/>
        </w:rPr>
        <w:t>零售</w:t>
      </w:r>
      <w:r>
        <w:rPr>
          <w:rFonts w:hint="eastAsia" w:ascii="仿宋_GB2312" w:hAnsi="仿宋_GB2312" w:eastAsia="仿宋_GB2312" w:cs="仿宋_GB2312"/>
          <w:b w:val="0"/>
          <w:bCs w:val="0"/>
          <w:color w:val="auto"/>
          <w:sz w:val="32"/>
          <w:szCs w:val="32"/>
          <w:highlight w:val="none"/>
          <w:shd w:val="clear" w:color="auto" w:fill="auto"/>
        </w:rPr>
        <w:t>许可证</w:t>
      </w:r>
      <w:r>
        <w:rPr>
          <w:rFonts w:hint="eastAsia" w:ascii="仿宋_GB2312" w:hAnsi="仿宋_GB2312" w:eastAsia="仿宋_GB2312" w:cs="仿宋_GB2312"/>
          <w:b w:val="0"/>
          <w:bCs w:val="0"/>
          <w:color w:val="auto"/>
          <w:sz w:val="32"/>
          <w:szCs w:val="32"/>
          <w:highlight w:val="none"/>
          <w:shd w:val="clear" w:color="auto" w:fill="auto"/>
          <w:lang w:eastAsia="zh-Hans"/>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eastAsia="zh-Hans"/>
        </w:rPr>
      </w:pPr>
      <w:r>
        <w:rPr>
          <w:rFonts w:ascii="仿宋_GB2312" w:hAnsi="仿宋_GB2312" w:eastAsia="仿宋_GB2312" w:cs="仿宋_GB2312"/>
          <w:b w:val="0"/>
          <w:bCs w:val="0"/>
          <w:color w:val="auto"/>
          <w:sz w:val="32"/>
          <w:szCs w:val="32"/>
          <w:highlight w:val="none"/>
          <w:shd w:val="clear" w:color="auto" w:fill="auto"/>
          <w:lang w:eastAsia="zh-Hans"/>
        </w:rPr>
        <w:t>（一）申请主体资格方面</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eastAsia="zh-CN"/>
        </w:rPr>
      </w:pPr>
      <w:r>
        <w:rPr>
          <w:rFonts w:hint="eastAsia" w:ascii="仿宋_GB2312" w:hAnsi="仿宋_GB2312" w:eastAsia="仿宋_GB2312" w:cs="仿宋_GB2312"/>
          <w:b w:val="0"/>
          <w:bCs w:val="0"/>
          <w:color w:val="auto"/>
          <w:sz w:val="32"/>
          <w:szCs w:val="32"/>
          <w:highlight w:val="none"/>
          <w:shd w:val="clear" w:color="auto" w:fill="auto"/>
          <w:lang w:eastAsia="zh-Hans"/>
        </w:rPr>
        <w:t>1.未成年人、无民事行为能力人及限制民事行为能力人</w:t>
      </w:r>
      <w:r>
        <w:rPr>
          <w:rFonts w:hint="eastAsia" w:ascii="仿宋_GB2312" w:hAnsi="仿宋_GB2312" w:eastAsia="仿宋_GB2312" w:cs="仿宋_GB2312"/>
          <w:b w:val="0"/>
          <w:bCs w:val="0"/>
          <w:color w:val="auto"/>
          <w:sz w:val="32"/>
          <w:szCs w:val="32"/>
          <w:highlight w:val="none"/>
          <w:shd w:val="clear" w:color="auto" w:fill="auto"/>
          <w:lang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eastAsia="zh-Hans"/>
        </w:rPr>
      </w:pPr>
      <w:r>
        <w:rPr>
          <w:rFonts w:hint="eastAsia" w:ascii="仿宋_GB2312" w:hAnsi="仿宋_GB2312" w:eastAsia="仿宋_GB2312" w:cs="仿宋_GB2312"/>
          <w:b w:val="0"/>
          <w:bCs w:val="0"/>
          <w:color w:val="auto"/>
          <w:sz w:val="32"/>
          <w:szCs w:val="32"/>
          <w:highlight w:val="none"/>
          <w:shd w:val="clear" w:color="auto" w:fill="auto"/>
          <w:lang w:val="en-US" w:eastAsia="zh-CN"/>
        </w:rPr>
        <w:t>2.</w:t>
      </w:r>
      <w:r>
        <w:rPr>
          <w:rFonts w:hint="eastAsia" w:ascii="仿宋_GB2312" w:hAnsi="仿宋_GB2312" w:eastAsia="仿宋_GB2312" w:cs="仿宋_GB2312"/>
          <w:b w:val="0"/>
          <w:bCs w:val="0"/>
          <w:color w:val="auto"/>
          <w:sz w:val="32"/>
          <w:szCs w:val="32"/>
          <w:highlight w:val="none"/>
          <w:shd w:val="clear" w:color="auto" w:fill="auto"/>
          <w:lang w:eastAsia="zh-Hans"/>
        </w:rPr>
        <w:t>外商投资的商业企业或者个体工商户（以提供住宿、餐饮、休闲、娱乐为主要经营范围且烟草零售业态为“娱乐服务类”的企业，以及内资企业、个体工商户租赁外商投资企业经营场所的除外）；</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b w:val="0"/>
          <w:bCs w:val="0"/>
          <w:color w:val="auto"/>
          <w:sz w:val="32"/>
          <w:szCs w:val="32"/>
          <w:highlight w:val="none"/>
          <w:shd w:val="clear" w:color="auto" w:fill="auto"/>
          <w:lang w:eastAsia="zh-Hans"/>
        </w:rPr>
      </w:pPr>
      <w:r>
        <w:rPr>
          <w:rFonts w:hint="eastAsia" w:ascii="仿宋_GB2312" w:hAnsi="仿宋_GB2312" w:eastAsia="仿宋_GB2312" w:cs="仿宋_GB2312"/>
          <w:b w:val="0"/>
          <w:bCs w:val="0"/>
          <w:color w:val="auto"/>
          <w:sz w:val="32"/>
          <w:szCs w:val="32"/>
          <w:highlight w:val="none"/>
          <w:shd w:val="clear" w:color="auto" w:fill="auto"/>
          <w:lang w:val="en-US" w:eastAsia="zh-CN"/>
        </w:rPr>
        <w:t>3</w:t>
      </w:r>
      <w:r>
        <w:rPr>
          <w:rFonts w:hint="eastAsia" w:ascii="仿宋_GB2312" w:hAnsi="仿宋_GB2312" w:eastAsia="仿宋_GB2312" w:cs="仿宋_GB2312"/>
          <w:b w:val="0"/>
          <w:bCs w:val="0"/>
          <w:color w:val="auto"/>
          <w:sz w:val="32"/>
          <w:szCs w:val="32"/>
          <w:highlight w:val="none"/>
          <w:shd w:val="clear" w:color="auto" w:fill="auto"/>
          <w:lang w:eastAsia="zh-Hans"/>
        </w:rPr>
        <w:t>.因申请人以欺骗、贿赂等不正当手段取得的烟草专卖许可证被撤销后，申请人三年内再次提出申请的；</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b w:val="0"/>
          <w:bCs w:val="0"/>
          <w:color w:val="auto"/>
          <w:sz w:val="32"/>
          <w:szCs w:val="32"/>
          <w:highlight w:val="none"/>
          <w:shd w:val="clear" w:color="auto" w:fill="auto"/>
          <w:lang w:eastAsia="zh-Hans"/>
        </w:rPr>
      </w:pPr>
      <w:r>
        <w:rPr>
          <w:rFonts w:hint="eastAsia" w:ascii="仿宋_GB2312" w:hAnsi="仿宋_GB2312" w:eastAsia="仿宋_GB2312" w:cs="仿宋_GB2312"/>
          <w:b w:val="0"/>
          <w:bCs w:val="0"/>
          <w:color w:val="auto"/>
          <w:sz w:val="32"/>
          <w:szCs w:val="32"/>
          <w:highlight w:val="none"/>
          <w:shd w:val="clear" w:color="auto" w:fill="auto"/>
          <w:lang w:val="en-US" w:eastAsia="zh-CN"/>
        </w:rPr>
        <w:t>4</w:t>
      </w:r>
      <w:r>
        <w:rPr>
          <w:rFonts w:hint="eastAsia" w:ascii="仿宋_GB2312" w:hAnsi="仿宋_GB2312" w:eastAsia="仿宋_GB2312" w:cs="仿宋_GB2312"/>
          <w:b w:val="0"/>
          <w:bCs w:val="0"/>
          <w:color w:val="auto"/>
          <w:sz w:val="32"/>
          <w:szCs w:val="32"/>
          <w:highlight w:val="none"/>
          <w:shd w:val="clear" w:color="auto" w:fill="auto"/>
          <w:lang w:eastAsia="zh-Hans"/>
        </w:rPr>
        <w:t>.因申请人隐瞒有关情况或者提供虚假材料，烟草专卖局作出不予受理或者不予发证决定后，申请人一年内再次提出申请的；</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b w:val="0"/>
          <w:bCs w:val="0"/>
          <w:color w:val="auto"/>
          <w:sz w:val="32"/>
          <w:szCs w:val="32"/>
          <w:highlight w:val="none"/>
          <w:shd w:val="clear" w:color="auto" w:fill="auto"/>
          <w:lang w:eastAsia="zh-Hans"/>
        </w:rPr>
      </w:pPr>
      <w:r>
        <w:rPr>
          <w:rFonts w:hint="eastAsia" w:ascii="仿宋_GB2312" w:hAnsi="仿宋_GB2312" w:eastAsia="仿宋_GB2312" w:cs="仿宋_GB2312"/>
          <w:b w:val="0"/>
          <w:bCs w:val="0"/>
          <w:color w:val="auto"/>
          <w:sz w:val="32"/>
          <w:szCs w:val="32"/>
          <w:highlight w:val="none"/>
          <w:shd w:val="clear" w:color="auto" w:fill="auto"/>
          <w:lang w:val="en-US" w:eastAsia="zh-CN"/>
        </w:rPr>
        <w:t>5</w:t>
      </w:r>
      <w:r>
        <w:rPr>
          <w:rFonts w:hint="eastAsia" w:ascii="仿宋_GB2312" w:hAnsi="仿宋_GB2312" w:eastAsia="仿宋_GB2312" w:cs="仿宋_GB2312"/>
          <w:b w:val="0"/>
          <w:bCs w:val="0"/>
          <w:color w:val="auto"/>
          <w:sz w:val="32"/>
          <w:szCs w:val="32"/>
          <w:highlight w:val="none"/>
          <w:shd w:val="clear" w:color="auto" w:fill="auto"/>
          <w:lang w:eastAsia="zh-Hans"/>
        </w:rPr>
        <w:t>.取消从事烟草专卖业务资格不满三年的；</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b w:val="0"/>
          <w:bCs w:val="0"/>
          <w:color w:val="auto"/>
          <w:sz w:val="32"/>
          <w:szCs w:val="32"/>
          <w:highlight w:val="none"/>
          <w:shd w:val="clear" w:color="auto" w:fill="auto"/>
          <w:lang w:eastAsia="zh-Hans"/>
        </w:rPr>
      </w:pPr>
      <w:r>
        <w:rPr>
          <w:rFonts w:hint="eastAsia" w:ascii="仿宋_GB2312" w:hAnsi="仿宋_GB2312" w:eastAsia="仿宋_GB2312" w:cs="仿宋_GB2312"/>
          <w:b w:val="0"/>
          <w:bCs w:val="0"/>
          <w:color w:val="auto"/>
          <w:sz w:val="32"/>
          <w:szCs w:val="32"/>
          <w:highlight w:val="none"/>
          <w:shd w:val="clear" w:color="auto" w:fill="auto"/>
          <w:lang w:val="en-US" w:eastAsia="zh-CN"/>
        </w:rPr>
        <w:t>6</w:t>
      </w:r>
      <w:r>
        <w:rPr>
          <w:rFonts w:hint="eastAsia" w:ascii="仿宋_GB2312" w:hAnsi="仿宋_GB2312" w:eastAsia="仿宋_GB2312" w:cs="仿宋_GB2312"/>
          <w:b w:val="0"/>
          <w:bCs w:val="0"/>
          <w:color w:val="auto"/>
          <w:sz w:val="32"/>
          <w:szCs w:val="32"/>
          <w:highlight w:val="none"/>
          <w:shd w:val="clear" w:color="auto" w:fill="auto"/>
          <w:lang w:eastAsia="zh-Hans"/>
        </w:rPr>
        <w:t>.未领取烟草专卖零售许可证经营烟草专卖品业务，并且一年内被执法机关处罚两次以上，在三年内申请领取烟草专卖零售许可证的；</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rPr>
      </w:pPr>
      <w:r>
        <w:rPr>
          <w:rFonts w:hint="eastAsia" w:ascii="仿宋_GB2312" w:hAnsi="仿宋_GB2312" w:eastAsia="仿宋_GB2312" w:cs="仿宋_GB2312"/>
          <w:b w:val="0"/>
          <w:bCs w:val="0"/>
          <w:color w:val="auto"/>
          <w:sz w:val="32"/>
          <w:szCs w:val="32"/>
          <w:highlight w:val="none"/>
          <w:shd w:val="clear" w:color="auto" w:fill="auto"/>
          <w:lang w:val="en-US" w:eastAsia="zh-CN"/>
        </w:rPr>
        <w:t>7</w:t>
      </w:r>
      <w:r>
        <w:rPr>
          <w:rFonts w:hint="eastAsia" w:ascii="仿宋_GB2312" w:hAnsi="仿宋_GB2312" w:eastAsia="仿宋_GB2312" w:cs="仿宋_GB2312"/>
          <w:b w:val="0"/>
          <w:bCs w:val="0"/>
          <w:color w:val="auto"/>
          <w:sz w:val="32"/>
          <w:szCs w:val="32"/>
          <w:highlight w:val="none"/>
          <w:shd w:val="clear" w:color="auto" w:fill="auto"/>
          <w:lang w:eastAsia="zh-Hans"/>
        </w:rPr>
        <w:t>.未领取烟草专卖零售许可证经营烟草专卖品业务被追究刑事责任，在三年内申请领取烟草专卖零售许可证的</w:t>
      </w:r>
      <w:r>
        <w:rPr>
          <w:rFonts w:hint="eastAsia" w:ascii="仿宋_GB2312" w:hAnsi="仿宋_GB2312" w:eastAsia="仿宋_GB2312" w:cs="仿宋_GB2312"/>
          <w:b w:val="0"/>
          <w:bCs w:val="0"/>
          <w:color w:val="auto"/>
          <w:sz w:val="32"/>
          <w:szCs w:val="32"/>
          <w:highlight w:val="none"/>
          <w:shd w:val="clear" w:color="auto" w:fill="auto"/>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eastAsia="zh-Hans"/>
        </w:rPr>
      </w:pPr>
      <w:r>
        <w:rPr>
          <w:rFonts w:ascii="仿宋_GB2312" w:hAnsi="仿宋_GB2312" w:eastAsia="仿宋_GB2312" w:cs="仿宋_GB2312"/>
          <w:b w:val="0"/>
          <w:bCs w:val="0"/>
          <w:color w:val="auto"/>
          <w:sz w:val="32"/>
          <w:szCs w:val="32"/>
          <w:highlight w:val="none"/>
          <w:shd w:val="clear" w:color="auto" w:fill="auto"/>
          <w:lang w:eastAsia="zh-Hans"/>
        </w:rPr>
        <w:t>（</w:t>
      </w:r>
      <w:r>
        <w:rPr>
          <w:rFonts w:hint="eastAsia" w:ascii="仿宋_GB2312" w:hAnsi="仿宋_GB2312" w:eastAsia="仿宋_GB2312" w:cs="仿宋_GB2312"/>
          <w:b w:val="0"/>
          <w:bCs w:val="0"/>
          <w:color w:val="auto"/>
          <w:sz w:val="32"/>
          <w:szCs w:val="32"/>
          <w:highlight w:val="none"/>
          <w:shd w:val="clear" w:color="auto" w:fill="auto"/>
        </w:rPr>
        <w:t>二</w:t>
      </w:r>
      <w:r>
        <w:rPr>
          <w:rFonts w:ascii="仿宋_GB2312" w:hAnsi="仿宋_GB2312" w:eastAsia="仿宋_GB2312" w:cs="仿宋_GB2312"/>
          <w:b w:val="0"/>
          <w:bCs w:val="0"/>
          <w:color w:val="auto"/>
          <w:sz w:val="32"/>
          <w:szCs w:val="32"/>
          <w:highlight w:val="none"/>
          <w:shd w:val="clear" w:color="auto" w:fill="auto"/>
          <w:lang w:eastAsia="zh-Hans"/>
        </w:rPr>
        <w:t>）</w:t>
      </w:r>
      <w:r>
        <w:rPr>
          <w:rFonts w:hint="eastAsia" w:ascii="仿宋_GB2312" w:hAnsi="仿宋_GB2312" w:eastAsia="仿宋_GB2312" w:cs="仿宋_GB2312"/>
          <w:b w:val="0"/>
          <w:bCs w:val="0"/>
          <w:color w:val="auto"/>
          <w:sz w:val="32"/>
          <w:szCs w:val="32"/>
          <w:highlight w:val="none"/>
          <w:shd w:val="clear" w:color="auto" w:fill="auto"/>
        </w:rPr>
        <w:t>经营模式</w:t>
      </w:r>
      <w:r>
        <w:rPr>
          <w:rFonts w:ascii="仿宋_GB2312" w:hAnsi="仿宋_GB2312" w:eastAsia="仿宋_GB2312" w:cs="仿宋_GB2312"/>
          <w:b w:val="0"/>
          <w:bCs w:val="0"/>
          <w:color w:val="auto"/>
          <w:sz w:val="32"/>
          <w:szCs w:val="32"/>
          <w:highlight w:val="none"/>
          <w:shd w:val="clear" w:color="auto" w:fill="auto"/>
          <w:lang w:eastAsia="zh-Hans"/>
        </w:rPr>
        <w:t>方面</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eastAsia="zh-CN"/>
        </w:rPr>
      </w:pPr>
      <w:r>
        <w:rPr>
          <w:rFonts w:hint="eastAsia" w:ascii="仿宋_GB2312" w:hAnsi="仿宋_GB2312" w:eastAsia="仿宋_GB2312" w:cs="仿宋_GB2312"/>
          <w:b w:val="0"/>
          <w:bCs w:val="0"/>
          <w:color w:val="auto"/>
          <w:sz w:val="32"/>
          <w:szCs w:val="32"/>
          <w:highlight w:val="none"/>
          <w:shd w:val="clear" w:color="auto" w:fill="auto"/>
        </w:rPr>
        <w:t>1</w:t>
      </w:r>
      <w:r>
        <w:rPr>
          <w:rFonts w:hint="eastAsia" w:ascii="仿宋_GB2312" w:hAnsi="仿宋_GB2312" w:eastAsia="仿宋_GB2312" w:cs="仿宋_GB2312"/>
          <w:b w:val="0"/>
          <w:bCs w:val="0"/>
          <w:color w:val="auto"/>
          <w:sz w:val="32"/>
          <w:szCs w:val="32"/>
          <w:highlight w:val="none"/>
          <w:shd w:val="clear" w:color="auto" w:fill="auto"/>
          <w:lang w:eastAsia="zh-Hans"/>
        </w:rPr>
        <w:t>.利用自动售货机（柜）或其他自动售货形式，销售或变相销售烟草制品的经营场所，以游戏、博彩等方式销售烟草制品的经营场所；</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eastAsia="zh-CN"/>
        </w:rPr>
      </w:pPr>
      <w:r>
        <w:rPr>
          <w:rFonts w:hint="eastAsia" w:ascii="仿宋_GB2312" w:hAnsi="仿宋_GB2312" w:eastAsia="仿宋_GB2312" w:cs="仿宋_GB2312"/>
          <w:b w:val="0"/>
          <w:bCs w:val="0"/>
          <w:color w:val="auto"/>
          <w:sz w:val="32"/>
          <w:szCs w:val="32"/>
          <w:highlight w:val="none"/>
          <w:shd w:val="clear" w:color="auto" w:fill="auto"/>
        </w:rPr>
        <w:t>2</w:t>
      </w:r>
      <w:r>
        <w:rPr>
          <w:rFonts w:hint="eastAsia" w:ascii="仿宋_GB2312" w:hAnsi="仿宋_GB2312" w:eastAsia="仿宋_GB2312" w:cs="仿宋_GB2312"/>
          <w:b w:val="0"/>
          <w:bCs w:val="0"/>
          <w:color w:val="auto"/>
          <w:sz w:val="32"/>
          <w:szCs w:val="32"/>
          <w:highlight w:val="none"/>
          <w:shd w:val="clear" w:color="auto" w:fill="auto"/>
          <w:lang w:eastAsia="zh-Hans"/>
        </w:rPr>
        <w:t>.利用信息网络渠道销售烟草制品的</w:t>
      </w:r>
      <w:r>
        <w:rPr>
          <w:rFonts w:hint="eastAsia" w:ascii="仿宋_GB2312" w:hAnsi="仿宋_GB2312" w:eastAsia="仿宋_GB2312" w:cs="仿宋_GB2312"/>
          <w:b w:val="0"/>
          <w:bCs w:val="0"/>
          <w:color w:val="auto"/>
          <w:sz w:val="32"/>
          <w:szCs w:val="32"/>
          <w:highlight w:val="none"/>
          <w:shd w:val="clear" w:color="auto" w:fill="auto"/>
          <w:lang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eastAsia="zh-CN"/>
        </w:rPr>
      </w:pPr>
      <w:r>
        <w:rPr>
          <w:rFonts w:ascii="仿宋_GB2312" w:hAnsi="仿宋_GB2312" w:eastAsia="仿宋_GB2312" w:cs="仿宋_GB2312"/>
          <w:b w:val="0"/>
          <w:bCs w:val="0"/>
          <w:color w:val="auto"/>
          <w:sz w:val="32"/>
          <w:szCs w:val="32"/>
          <w:highlight w:val="none"/>
          <w:shd w:val="clear" w:color="auto" w:fill="auto"/>
          <w:lang w:eastAsia="zh-Hans"/>
        </w:rPr>
        <w:t>（</w:t>
      </w:r>
      <w:r>
        <w:rPr>
          <w:rFonts w:hint="eastAsia" w:ascii="仿宋_GB2312" w:hAnsi="仿宋_GB2312" w:eastAsia="仿宋_GB2312" w:cs="仿宋_GB2312"/>
          <w:b w:val="0"/>
          <w:bCs w:val="0"/>
          <w:color w:val="auto"/>
          <w:sz w:val="32"/>
          <w:szCs w:val="32"/>
          <w:highlight w:val="none"/>
          <w:shd w:val="clear" w:color="auto" w:fill="auto"/>
        </w:rPr>
        <w:t>三</w:t>
      </w:r>
      <w:r>
        <w:rPr>
          <w:rFonts w:ascii="仿宋_GB2312" w:hAnsi="仿宋_GB2312" w:eastAsia="仿宋_GB2312" w:cs="仿宋_GB2312"/>
          <w:b w:val="0"/>
          <w:bCs w:val="0"/>
          <w:color w:val="auto"/>
          <w:sz w:val="32"/>
          <w:szCs w:val="32"/>
          <w:highlight w:val="none"/>
          <w:shd w:val="clear" w:color="auto" w:fill="auto"/>
          <w:lang w:eastAsia="zh-Hans"/>
        </w:rPr>
        <w:t>）</w:t>
      </w:r>
      <w:r>
        <w:rPr>
          <w:rFonts w:hint="eastAsia" w:ascii="仿宋_GB2312" w:hAnsi="仿宋_GB2312" w:eastAsia="仿宋_GB2312" w:cs="仿宋_GB2312"/>
          <w:b w:val="0"/>
          <w:bCs w:val="0"/>
          <w:color w:val="auto"/>
          <w:sz w:val="32"/>
          <w:szCs w:val="32"/>
          <w:highlight w:val="none"/>
          <w:shd w:val="clear" w:color="auto" w:fill="auto"/>
          <w:lang w:eastAsia="zh-CN"/>
        </w:rPr>
        <w:t>经营场所方面</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eastAsia="zh-Hans"/>
        </w:rPr>
      </w:pPr>
      <w:r>
        <w:rPr>
          <w:rFonts w:hint="eastAsia" w:ascii="仿宋_GB2312" w:hAnsi="仿宋_GB2312" w:eastAsia="仿宋_GB2312" w:cs="仿宋_GB2312"/>
          <w:b w:val="0"/>
          <w:bCs w:val="0"/>
          <w:color w:val="auto"/>
          <w:sz w:val="32"/>
          <w:szCs w:val="32"/>
          <w:highlight w:val="none"/>
          <w:shd w:val="clear" w:color="auto" w:fill="auto"/>
        </w:rPr>
        <w:t>1</w:t>
      </w:r>
      <w:r>
        <w:rPr>
          <w:rFonts w:hint="eastAsia" w:ascii="仿宋_GB2312" w:hAnsi="仿宋_GB2312" w:eastAsia="仿宋_GB2312" w:cs="仿宋_GB2312"/>
          <w:b w:val="0"/>
          <w:bCs w:val="0"/>
          <w:color w:val="auto"/>
          <w:sz w:val="32"/>
          <w:szCs w:val="32"/>
          <w:highlight w:val="none"/>
          <w:shd w:val="clear" w:color="auto" w:fill="auto"/>
          <w:lang w:eastAsia="zh-Hans"/>
        </w:rPr>
        <w:t>.</w:t>
      </w:r>
      <w:r>
        <w:rPr>
          <w:rFonts w:hint="eastAsia" w:ascii="仿宋_GB2312" w:hAnsi="仿宋_GB2312" w:eastAsia="仿宋_GB2312" w:cs="仿宋_GB2312"/>
          <w:b w:val="0"/>
          <w:bCs w:val="0"/>
          <w:color w:val="auto"/>
          <w:sz w:val="32"/>
          <w:szCs w:val="32"/>
          <w:highlight w:val="none"/>
          <w:shd w:val="clear" w:color="auto" w:fill="auto"/>
          <w:lang w:eastAsia="zh-CN"/>
        </w:rPr>
        <w:t>经</w:t>
      </w:r>
      <w:r>
        <w:rPr>
          <w:rFonts w:hint="eastAsia" w:ascii="仿宋_GB2312" w:hAnsi="仿宋_GB2312" w:eastAsia="仿宋_GB2312" w:cs="仿宋_GB2312"/>
          <w:b w:val="0"/>
          <w:bCs w:val="0"/>
          <w:color w:val="auto"/>
          <w:sz w:val="32"/>
          <w:szCs w:val="32"/>
          <w:highlight w:val="none"/>
          <w:shd w:val="clear" w:color="auto" w:fill="auto"/>
          <w:lang w:eastAsia="zh-Hans"/>
        </w:rPr>
        <w:t>营场所</w:t>
      </w:r>
      <w:r>
        <w:rPr>
          <w:rFonts w:hint="eastAsia" w:ascii="仿宋_GB2312" w:hAnsi="仿宋_GB2312" w:eastAsia="仿宋_GB2312" w:cs="仿宋_GB2312"/>
          <w:b w:val="0"/>
          <w:bCs w:val="0"/>
          <w:color w:val="auto"/>
          <w:sz w:val="32"/>
          <w:szCs w:val="32"/>
          <w:highlight w:val="none"/>
          <w:shd w:val="clear" w:color="auto" w:fill="auto"/>
          <w:lang w:eastAsia="zh-CN"/>
        </w:rPr>
        <w:t>未达到与</w:t>
      </w:r>
      <w:r>
        <w:rPr>
          <w:rFonts w:hint="eastAsia" w:ascii="仿宋_GB2312" w:hAnsi="仿宋_GB2312" w:eastAsia="仿宋_GB2312" w:cs="仿宋_GB2312"/>
          <w:b w:val="0"/>
          <w:bCs w:val="0"/>
          <w:color w:val="auto"/>
          <w:sz w:val="32"/>
          <w:szCs w:val="32"/>
          <w:highlight w:val="none"/>
          <w:shd w:val="clear" w:color="auto" w:fill="auto"/>
          <w:lang w:eastAsia="zh-Hans"/>
        </w:rPr>
        <w:t>住所相独立的；</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b w:val="0"/>
          <w:bCs w:val="0"/>
          <w:color w:val="auto"/>
          <w:sz w:val="32"/>
          <w:szCs w:val="32"/>
          <w:highlight w:val="none"/>
          <w:shd w:val="clear" w:color="auto" w:fill="auto"/>
          <w:lang w:eastAsia="zh-Hans"/>
        </w:rPr>
      </w:pPr>
      <w:r>
        <w:rPr>
          <w:rFonts w:hint="eastAsia" w:ascii="仿宋_GB2312" w:hAnsi="仿宋_GB2312" w:eastAsia="仿宋_GB2312" w:cs="仿宋_GB2312"/>
          <w:b w:val="0"/>
          <w:bCs w:val="0"/>
          <w:color w:val="auto"/>
          <w:sz w:val="32"/>
          <w:szCs w:val="32"/>
          <w:highlight w:val="none"/>
          <w:shd w:val="clear" w:color="auto" w:fill="auto"/>
          <w:lang w:val="en-US" w:eastAsia="zh-CN"/>
        </w:rPr>
        <w:t>2.</w:t>
      </w:r>
      <w:r>
        <w:rPr>
          <w:rFonts w:hint="eastAsia" w:ascii="仿宋_GB2312" w:hAnsi="仿宋_GB2312" w:eastAsia="仿宋_GB2312" w:cs="仿宋_GB2312"/>
          <w:b w:val="0"/>
          <w:bCs w:val="0"/>
          <w:color w:val="auto"/>
          <w:sz w:val="32"/>
          <w:szCs w:val="32"/>
          <w:highlight w:val="none"/>
          <w:shd w:val="clear" w:color="auto" w:fill="auto"/>
          <w:lang w:eastAsia="zh-Hans"/>
        </w:rPr>
        <w:t>无固定经营场所的；</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rPr>
      </w:pPr>
      <w:r>
        <w:rPr>
          <w:rFonts w:hint="eastAsia" w:ascii="仿宋_GB2312" w:hAnsi="仿宋_GB2312" w:eastAsia="仿宋_GB2312" w:cs="仿宋_GB2312"/>
          <w:b w:val="0"/>
          <w:bCs w:val="0"/>
          <w:color w:val="auto"/>
          <w:sz w:val="32"/>
          <w:szCs w:val="32"/>
          <w:highlight w:val="none"/>
          <w:shd w:val="clear" w:color="auto" w:fill="auto"/>
          <w:lang w:val="en-US" w:eastAsia="zh-CN"/>
        </w:rPr>
        <w:t>3.</w:t>
      </w:r>
      <w:r>
        <w:rPr>
          <w:rFonts w:hint="eastAsia" w:ascii="仿宋_GB2312" w:hAnsi="仿宋_GB2312" w:eastAsia="仿宋_GB2312" w:cs="仿宋_GB2312"/>
          <w:b w:val="0"/>
          <w:bCs w:val="0"/>
          <w:color w:val="auto"/>
          <w:sz w:val="32"/>
          <w:szCs w:val="32"/>
          <w:highlight w:val="none"/>
          <w:shd w:val="clear" w:color="auto" w:fill="auto"/>
          <w:lang w:eastAsia="zh-CN"/>
        </w:rPr>
        <w:t>住宅、地下室、储藏室、门卫值班室、封闭小区内的车库、办公场所、楼道、车间厂房、独立于经营场所外的货物仓库、阁楼、人防工程区域</w:t>
      </w:r>
      <w:r>
        <w:rPr>
          <w:rFonts w:hint="eastAsia" w:ascii="仿宋_GB2312" w:hAnsi="仿宋_GB2312" w:eastAsia="仿宋_GB2312" w:cs="仿宋_GB2312"/>
          <w:b w:val="0"/>
          <w:bCs w:val="0"/>
          <w:color w:val="auto"/>
          <w:sz w:val="32"/>
          <w:szCs w:val="32"/>
          <w:highlight w:val="none"/>
          <w:shd w:val="clear" w:color="auto" w:fill="auto"/>
          <w:lang w:eastAsia="zh-Hans"/>
        </w:rPr>
        <w:t>等区域</w:t>
      </w:r>
      <w:r>
        <w:rPr>
          <w:rFonts w:hint="eastAsia" w:ascii="仿宋_GB2312" w:hAnsi="仿宋_GB2312" w:eastAsia="仿宋_GB2312" w:cs="仿宋_GB2312"/>
          <w:b w:val="0"/>
          <w:bCs w:val="0"/>
          <w:color w:val="auto"/>
          <w:sz w:val="32"/>
          <w:szCs w:val="32"/>
          <w:highlight w:val="none"/>
          <w:shd w:val="clear" w:color="auto" w:fill="auto"/>
          <w:lang w:val="en-US"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eastAsia="zh-CN"/>
        </w:rPr>
      </w:pPr>
      <w:r>
        <w:rPr>
          <w:rFonts w:hint="eastAsia" w:ascii="仿宋_GB2312" w:hAnsi="仿宋_GB2312" w:eastAsia="仿宋_GB2312" w:cs="仿宋_GB2312"/>
          <w:b w:val="0"/>
          <w:bCs w:val="0"/>
          <w:color w:val="auto"/>
          <w:sz w:val="32"/>
          <w:szCs w:val="32"/>
          <w:highlight w:val="none"/>
          <w:shd w:val="clear" w:color="auto" w:fill="auto"/>
          <w:lang w:val="en-US" w:eastAsia="zh-CN"/>
        </w:rPr>
        <w:t>4</w:t>
      </w:r>
      <w:r>
        <w:rPr>
          <w:rFonts w:hint="eastAsia" w:ascii="仿宋_GB2312" w:hAnsi="仿宋_GB2312" w:eastAsia="仿宋_GB2312" w:cs="仿宋_GB2312"/>
          <w:b w:val="0"/>
          <w:bCs w:val="0"/>
          <w:color w:val="auto"/>
          <w:sz w:val="32"/>
          <w:szCs w:val="32"/>
          <w:highlight w:val="none"/>
          <w:shd w:val="clear" w:color="auto" w:fill="auto"/>
          <w:lang w:eastAsia="zh-Hans"/>
        </w:rPr>
        <w:t>.</w:t>
      </w:r>
      <w:r>
        <w:rPr>
          <w:rFonts w:hint="eastAsia" w:ascii="仿宋_GB2312" w:hAnsi="仿宋_GB2312" w:eastAsia="仿宋_GB2312" w:cs="仿宋_GB2312"/>
          <w:b w:val="0"/>
          <w:bCs w:val="0"/>
          <w:color w:val="auto"/>
          <w:sz w:val="32"/>
          <w:szCs w:val="32"/>
          <w:highlight w:val="none"/>
          <w:shd w:val="clear" w:color="auto" w:fill="auto"/>
        </w:rPr>
        <w:t>公寓、写字楼、商用楼宇、</w:t>
      </w:r>
      <w:r>
        <w:rPr>
          <w:rFonts w:hint="eastAsia" w:ascii="仿宋_GB2312" w:hAnsi="仿宋_GB2312" w:eastAsia="仿宋_GB2312" w:cs="仿宋_GB2312"/>
          <w:b w:val="0"/>
          <w:bCs w:val="0"/>
          <w:color w:val="auto"/>
          <w:sz w:val="32"/>
          <w:szCs w:val="32"/>
          <w:highlight w:val="none"/>
          <w:shd w:val="clear" w:color="auto" w:fill="auto"/>
          <w:lang w:eastAsia="zh-Hans"/>
        </w:rPr>
        <w:t>封闭式住宅小区等限制进入</w:t>
      </w:r>
      <w:r>
        <w:rPr>
          <w:rFonts w:hint="eastAsia" w:ascii="仿宋_GB2312" w:hAnsi="仿宋_GB2312" w:eastAsia="仿宋_GB2312" w:cs="仿宋_GB2312"/>
          <w:b w:val="0"/>
          <w:bCs w:val="0"/>
          <w:color w:val="auto"/>
          <w:sz w:val="32"/>
          <w:szCs w:val="32"/>
          <w:highlight w:val="none"/>
          <w:shd w:val="clear" w:color="auto" w:fill="auto"/>
        </w:rPr>
        <w:t>区域除地面一层经营区域以外的场所</w:t>
      </w:r>
      <w:r>
        <w:rPr>
          <w:rFonts w:hint="eastAsia" w:ascii="仿宋_GB2312" w:hAnsi="仿宋_GB2312" w:eastAsia="仿宋_GB2312" w:cs="仿宋_GB2312"/>
          <w:b w:val="0"/>
          <w:bCs w:val="0"/>
          <w:color w:val="auto"/>
          <w:sz w:val="32"/>
          <w:szCs w:val="32"/>
          <w:highlight w:val="none"/>
          <w:shd w:val="clear" w:color="auto" w:fill="auto"/>
          <w:lang w:eastAsia="zh-CN"/>
        </w:rPr>
        <w:t>，</w:t>
      </w:r>
      <w:r>
        <w:rPr>
          <w:rFonts w:hint="eastAsia" w:ascii="仿宋_GB2312" w:hAnsi="仿宋_GB2312" w:eastAsia="仿宋_GB2312" w:cs="仿宋_GB2312"/>
          <w:b w:val="0"/>
          <w:bCs w:val="0"/>
          <w:color w:val="auto"/>
          <w:sz w:val="32"/>
          <w:szCs w:val="32"/>
          <w:highlight w:val="none"/>
          <w:shd w:val="clear" w:color="auto" w:fill="auto"/>
          <w:lang w:eastAsia="zh-Hans"/>
        </w:rPr>
        <w:t>大型</w:t>
      </w:r>
      <w:r>
        <w:rPr>
          <w:rFonts w:hint="eastAsia" w:ascii="仿宋_GB2312" w:hAnsi="仿宋_GB2312" w:eastAsia="仿宋_GB2312" w:cs="仿宋_GB2312"/>
          <w:b w:val="0"/>
          <w:bCs w:val="0"/>
          <w:color w:val="auto"/>
          <w:sz w:val="32"/>
          <w:szCs w:val="32"/>
          <w:highlight w:val="none"/>
          <w:shd w:val="clear" w:color="auto" w:fill="auto"/>
        </w:rPr>
        <w:t>连锁</w:t>
      </w:r>
      <w:r>
        <w:rPr>
          <w:rFonts w:hint="eastAsia" w:ascii="仿宋_GB2312" w:hAnsi="仿宋_GB2312" w:eastAsia="仿宋_GB2312" w:cs="仿宋_GB2312"/>
          <w:b w:val="0"/>
          <w:bCs w:val="0"/>
          <w:color w:val="auto"/>
          <w:sz w:val="32"/>
          <w:szCs w:val="32"/>
          <w:highlight w:val="none"/>
          <w:shd w:val="clear" w:color="auto" w:fill="auto"/>
          <w:lang w:eastAsia="zh-Hans"/>
        </w:rPr>
        <w:t>超市、商场</w:t>
      </w:r>
      <w:r>
        <w:rPr>
          <w:rFonts w:hint="eastAsia" w:ascii="仿宋_GB2312" w:hAnsi="仿宋_GB2312" w:eastAsia="仿宋_GB2312" w:cs="仿宋_GB2312"/>
          <w:b w:val="0"/>
          <w:bCs w:val="0"/>
          <w:color w:val="auto"/>
          <w:sz w:val="32"/>
          <w:szCs w:val="32"/>
          <w:highlight w:val="none"/>
          <w:shd w:val="clear" w:color="auto" w:fill="auto"/>
        </w:rPr>
        <w:t>、商业综合体</w:t>
      </w:r>
      <w:r>
        <w:rPr>
          <w:rFonts w:hint="eastAsia" w:ascii="仿宋_GB2312" w:hAnsi="仿宋_GB2312" w:eastAsia="仿宋_GB2312" w:cs="仿宋_GB2312"/>
          <w:b w:val="0"/>
          <w:bCs w:val="0"/>
          <w:color w:val="auto"/>
          <w:sz w:val="32"/>
          <w:szCs w:val="32"/>
          <w:highlight w:val="none"/>
          <w:shd w:val="clear" w:color="auto" w:fill="auto"/>
          <w:lang w:eastAsia="zh-CN"/>
        </w:rPr>
        <w:t>、</w:t>
      </w:r>
      <w:r>
        <w:rPr>
          <w:rFonts w:hint="eastAsia" w:ascii="仿宋_GB2312" w:hAnsi="仿宋_GB2312" w:eastAsia="仿宋_GB2312" w:cs="仿宋_GB2312"/>
          <w:b w:val="0"/>
          <w:bCs w:val="0"/>
          <w:color w:val="auto"/>
          <w:sz w:val="32"/>
          <w:szCs w:val="32"/>
          <w:highlight w:val="none"/>
          <w:shd w:val="clear" w:color="auto" w:fill="auto"/>
          <w:lang w:val="zh-CN" w:eastAsia="zh-CN"/>
        </w:rPr>
        <w:t>地铁站内、地下商业街、市场内零售点</w:t>
      </w:r>
      <w:r>
        <w:rPr>
          <w:rFonts w:hint="eastAsia" w:ascii="仿宋_GB2312" w:hAnsi="仿宋_GB2312" w:eastAsia="仿宋_GB2312" w:cs="仿宋_GB2312"/>
          <w:b w:val="0"/>
          <w:bCs w:val="0"/>
          <w:color w:val="auto"/>
          <w:sz w:val="32"/>
          <w:szCs w:val="32"/>
          <w:highlight w:val="none"/>
          <w:shd w:val="clear" w:color="auto" w:fill="auto"/>
        </w:rPr>
        <w:t>不受本</w:t>
      </w:r>
      <w:r>
        <w:rPr>
          <w:rFonts w:hint="eastAsia" w:ascii="仿宋_GB2312" w:hAnsi="仿宋_GB2312" w:eastAsia="仿宋_GB2312" w:cs="仿宋_GB2312"/>
          <w:b w:val="0"/>
          <w:bCs w:val="0"/>
          <w:color w:val="auto"/>
          <w:sz w:val="32"/>
          <w:szCs w:val="32"/>
          <w:highlight w:val="none"/>
          <w:shd w:val="clear" w:color="auto" w:fill="auto"/>
          <w:lang w:eastAsia="zh-CN"/>
        </w:rPr>
        <w:t>项</w:t>
      </w:r>
      <w:r>
        <w:rPr>
          <w:rFonts w:hint="eastAsia" w:ascii="仿宋_GB2312" w:hAnsi="仿宋_GB2312" w:eastAsia="仿宋_GB2312" w:cs="仿宋_GB2312"/>
          <w:b w:val="0"/>
          <w:bCs w:val="0"/>
          <w:color w:val="auto"/>
          <w:sz w:val="32"/>
          <w:szCs w:val="32"/>
          <w:highlight w:val="none"/>
          <w:shd w:val="clear" w:color="auto" w:fill="auto"/>
        </w:rPr>
        <w:t>限制</w:t>
      </w:r>
      <w:r>
        <w:rPr>
          <w:rFonts w:hint="eastAsia" w:ascii="仿宋_GB2312" w:hAnsi="仿宋_GB2312" w:eastAsia="仿宋_GB2312" w:cs="仿宋_GB2312"/>
          <w:b w:val="0"/>
          <w:bCs w:val="0"/>
          <w:color w:val="auto"/>
          <w:sz w:val="32"/>
          <w:szCs w:val="32"/>
          <w:highlight w:val="none"/>
          <w:shd w:val="clear" w:color="auto" w:fill="auto"/>
          <w:lang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eastAsia="zh-CN"/>
        </w:rPr>
      </w:pPr>
      <w:r>
        <w:rPr>
          <w:rFonts w:hint="eastAsia" w:ascii="仿宋_GB2312" w:hAnsi="仿宋_GB2312" w:eastAsia="仿宋_GB2312" w:cs="仿宋_GB2312"/>
          <w:b w:val="0"/>
          <w:bCs w:val="0"/>
          <w:color w:val="auto"/>
          <w:sz w:val="32"/>
          <w:szCs w:val="32"/>
          <w:highlight w:val="none"/>
          <w:shd w:val="clear" w:color="auto" w:fill="auto"/>
          <w:lang w:val="en-US" w:eastAsia="zh-CN"/>
        </w:rPr>
        <w:t>5</w:t>
      </w:r>
      <w:r>
        <w:rPr>
          <w:rFonts w:hint="eastAsia" w:ascii="仿宋_GB2312" w:hAnsi="仿宋_GB2312" w:eastAsia="仿宋_GB2312" w:cs="仿宋_GB2312"/>
          <w:b w:val="0"/>
          <w:bCs w:val="0"/>
          <w:color w:val="auto"/>
          <w:sz w:val="32"/>
          <w:szCs w:val="32"/>
          <w:highlight w:val="none"/>
          <w:shd w:val="clear" w:color="auto" w:fill="auto"/>
          <w:lang w:eastAsia="zh-Hans"/>
        </w:rPr>
        <w:t>.</w:t>
      </w:r>
      <w:r>
        <w:rPr>
          <w:rFonts w:hint="eastAsia" w:ascii="仿宋_GB2312" w:hAnsi="仿宋_GB2312" w:eastAsia="仿宋_GB2312" w:cs="仿宋_GB2312"/>
          <w:b w:val="0"/>
          <w:bCs w:val="0"/>
          <w:color w:val="auto"/>
          <w:sz w:val="32"/>
          <w:szCs w:val="32"/>
          <w:highlight w:val="none"/>
          <w:shd w:val="clear" w:color="auto" w:fill="auto"/>
        </w:rPr>
        <w:t>生产、经营、储存化学（工）制剂、农药、化肥、油漆、散装汽油有毒有害、挥发类</w:t>
      </w:r>
      <w:r>
        <w:rPr>
          <w:rFonts w:hint="eastAsia" w:ascii="仿宋_GB2312" w:hAnsi="仿宋_GB2312" w:eastAsia="仿宋_GB2312" w:cs="仿宋_GB2312"/>
          <w:b w:val="0"/>
          <w:bCs w:val="0"/>
          <w:color w:val="auto"/>
          <w:sz w:val="32"/>
          <w:szCs w:val="32"/>
          <w:highlight w:val="none"/>
          <w:shd w:val="clear" w:color="auto" w:fill="auto"/>
          <w:lang w:eastAsia="zh-CN"/>
        </w:rPr>
        <w:t>商品</w:t>
      </w:r>
      <w:r>
        <w:rPr>
          <w:rFonts w:hint="eastAsia" w:ascii="仿宋_GB2312" w:hAnsi="仿宋_GB2312" w:eastAsia="仿宋_GB2312" w:cs="仿宋_GB2312"/>
          <w:b w:val="0"/>
          <w:bCs w:val="0"/>
          <w:color w:val="auto"/>
          <w:sz w:val="32"/>
          <w:szCs w:val="32"/>
          <w:highlight w:val="none"/>
          <w:shd w:val="clear" w:color="auto" w:fill="auto"/>
        </w:rPr>
        <w:t>易造成烟草制品吸食安全隐患物品的经营场所，基于安全因素不适宜经营烟草制品</w:t>
      </w:r>
      <w:r>
        <w:rPr>
          <w:rFonts w:hint="eastAsia" w:ascii="仿宋_GB2312" w:hAnsi="仿宋_GB2312" w:eastAsia="仿宋_GB2312" w:cs="仿宋_GB2312"/>
          <w:b w:val="0"/>
          <w:bCs w:val="0"/>
          <w:color w:val="auto"/>
          <w:sz w:val="32"/>
          <w:szCs w:val="32"/>
          <w:highlight w:val="none"/>
          <w:shd w:val="clear" w:color="auto" w:fill="auto"/>
          <w:lang w:eastAsia="zh-CN"/>
        </w:rPr>
        <w:t>的经营场所</w:t>
      </w:r>
      <w:r>
        <w:rPr>
          <w:rFonts w:hint="eastAsia" w:ascii="仿宋_GB2312" w:hAnsi="仿宋_GB2312" w:eastAsia="仿宋_GB2312" w:cs="仿宋_GB2312"/>
          <w:b w:val="0"/>
          <w:bCs w:val="0"/>
          <w:color w:val="auto"/>
          <w:sz w:val="32"/>
          <w:szCs w:val="32"/>
          <w:highlight w:val="none"/>
          <w:shd w:val="clear" w:color="auto" w:fill="auto"/>
        </w:rPr>
        <w:t>，政府及相关部门另有规定的按相关规定执行；</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rPr>
      </w:pPr>
      <w:r>
        <w:rPr>
          <w:rFonts w:hint="eastAsia" w:ascii="仿宋_GB2312" w:hAnsi="仿宋_GB2312" w:eastAsia="仿宋_GB2312" w:cs="仿宋_GB2312"/>
          <w:b w:val="0"/>
          <w:bCs w:val="0"/>
          <w:color w:val="auto"/>
          <w:sz w:val="32"/>
          <w:szCs w:val="32"/>
          <w:highlight w:val="none"/>
          <w:shd w:val="clear" w:color="auto" w:fill="auto"/>
          <w:lang w:val="en-US" w:eastAsia="zh-CN"/>
        </w:rPr>
        <w:t>6</w:t>
      </w:r>
      <w:r>
        <w:rPr>
          <w:rFonts w:hint="eastAsia" w:ascii="仿宋_GB2312" w:hAnsi="仿宋_GB2312" w:eastAsia="仿宋_GB2312" w:cs="仿宋_GB2312"/>
          <w:b w:val="0"/>
          <w:bCs w:val="0"/>
          <w:color w:val="auto"/>
          <w:sz w:val="32"/>
          <w:szCs w:val="32"/>
          <w:highlight w:val="none"/>
          <w:shd w:val="clear" w:color="auto" w:fill="auto"/>
          <w:lang w:eastAsia="zh-Hans"/>
        </w:rPr>
        <w:t>.同一经营场所已办理烟草专卖零售许可证且许可证还在有效期内的</w:t>
      </w:r>
      <w:r>
        <w:rPr>
          <w:rFonts w:hint="eastAsia" w:ascii="仿宋_GB2312" w:hAnsi="仿宋_GB2312" w:eastAsia="仿宋_GB2312" w:cs="仿宋_GB2312"/>
          <w:b w:val="0"/>
          <w:bCs w:val="0"/>
          <w:color w:val="auto"/>
          <w:sz w:val="32"/>
          <w:szCs w:val="32"/>
          <w:highlight w:val="none"/>
          <w:shd w:val="clear" w:color="auto" w:fill="auto"/>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shd w:val="clear" w:color="auto" w:fill="auto"/>
          <w:lang w:val="en-US" w:eastAsia="zh-CN"/>
        </w:rPr>
        <w:t>7.</w:t>
      </w:r>
      <w:r>
        <w:rPr>
          <w:rFonts w:hint="eastAsia" w:ascii="仿宋_GB2312" w:hAnsi="仿宋_GB2312" w:eastAsia="仿宋_GB2312" w:cs="仿宋_GB2312"/>
          <w:b w:val="0"/>
          <w:bCs w:val="0"/>
          <w:color w:val="auto"/>
          <w:sz w:val="32"/>
          <w:szCs w:val="32"/>
          <w:highlight w:val="none"/>
          <w:lang w:val="en-US" w:eastAsia="zh-CN"/>
        </w:rPr>
        <w:t>实际经营地址与营业执照登记地址不一致的；</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eastAsia="zh-Hans"/>
        </w:rPr>
      </w:pPr>
      <w:r>
        <w:rPr>
          <w:rFonts w:hint="eastAsia" w:ascii="仿宋_GB2312" w:hAnsi="仿宋_GB2312" w:eastAsia="仿宋_GB2312" w:cs="仿宋_GB2312"/>
          <w:b w:val="0"/>
          <w:bCs w:val="0"/>
          <w:color w:val="auto"/>
          <w:sz w:val="32"/>
          <w:szCs w:val="32"/>
          <w:highlight w:val="none"/>
          <w:shd w:val="clear" w:color="auto" w:fill="auto"/>
          <w:lang w:val="en-US" w:eastAsia="zh-CN"/>
        </w:rPr>
        <w:t>8</w:t>
      </w:r>
      <w:r>
        <w:rPr>
          <w:rFonts w:hint="eastAsia" w:ascii="仿宋_GB2312" w:hAnsi="仿宋_GB2312" w:eastAsia="仿宋_GB2312" w:cs="仿宋_GB2312"/>
          <w:b w:val="0"/>
          <w:bCs w:val="0"/>
          <w:color w:val="auto"/>
          <w:sz w:val="32"/>
          <w:szCs w:val="32"/>
          <w:highlight w:val="none"/>
          <w:shd w:val="clear" w:color="auto" w:fill="auto"/>
          <w:lang w:eastAsia="zh-Hans"/>
        </w:rPr>
        <w:t>.中小学校内及中小学校出入口中心外</w:t>
      </w:r>
      <w:r>
        <w:rPr>
          <w:rFonts w:hint="eastAsia" w:ascii="仿宋_GB2312" w:hAnsi="仿宋_GB2312" w:eastAsia="仿宋_GB2312" w:cs="仿宋_GB2312"/>
          <w:b w:val="0"/>
          <w:bCs w:val="0"/>
          <w:color w:val="auto"/>
          <w:sz w:val="32"/>
          <w:szCs w:val="32"/>
          <w:highlight w:val="none"/>
          <w:shd w:val="clear" w:color="auto" w:fill="auto"/>
          <w:lang w:val="en-US" w:eastAsia="zh-CN"/>
        </w:rPr>
        <w:t>100</w:t>
      </w:r>
      <w:r>
        <w:rPr>
          <w:rFonts w:hint="eastAsia" w:ascii="仿宋_GB2312" w:hAnsi="仿宋_GB2312" w:eastAsia="仿宋_GB2312" w:cs="仿宋_GB2312"/>
          <w:b w:val="0"/>
          <w:bCs w:val="0"/>
          <w:color w:val="auto"/>
          <w:sz w:val="32"/>
          <w:szCs w:val="32"/>
          <w:highlight w:val="none"/>
          <w:shd w:val="clear" w:color="auto" w:fill="auto"/>
          <w:lang w:eastAsia="zh-Hans"/>
        </w:rPr>
        <w:t>米范围内的区域</w:t>
      </w:r>
      <w:r>
        <w:rPr>
          <w:rFonts w:hint="eastAsia" w:ascii="仿宋_GB2312" w:hAnsi="仿宋_GB2312" w:eastAsia="仿宋_GB2312" w:cs="仿宋_GB2312"/>
          <w:b w:val="0"/>
          <w:bCs w:val="0"/>
          <w:color w:val="auto"/>
          <w:sz w:val="32"/>
          <w:szCs w:val="32"/>
          <w:highlight w:val="none"/>
          <w:shd w:val="clear" w:color="auto" w:fill="auto"/>
        </w:rPr>
        <w:t>，</w:t>
      </w:r>
      <w:r>
        <w:rPr>
          <w:rFonts w:hint="eastAsia" w:ascii="仿宋_GB2312" w:hAnsi="仿宋_GB2312" w:eastAsia="仿宋_GB2312" w:cs="仿宋_GB2312"/>
          <w:b w:val="0"/>
          <w:bCs w:val="0"/>
          <w:color w:val="auto"/>
          <w:sz w:val="32"/>
          <w:szCs w:val="32"/>
          <w:highlight w:val="none"/>
          <w:shd w:val="clear" w:color="auto" w:fill="auto"/>
          <w:lang w:eastAsia="zh-Hans"/>
        </w:rPr>
        <w:t>幼儿园内及幼儿园出入口中心外</w:t>
      </w:r>
      <w:r>
        <w:rPr>
          <w:rFonts w:hint="eastAsia" w:ascii="仿宋_GB2312" w:hAnsi="仿宋_GB2312" w:eastAsia="仿宋_GB2312" w:cs="仿宋_GB2312"/>
          <w:b w:val="0"/>
          <w:bCs w:val="0"/>
          <w:color w:val="auto"/>
          <w:sz w:val="32"/>
          <w:szCs w:val="32"/>
          <w:highlight w:val="none"/>
          <w:shd w:val="clear" w:color="auto" w:fill="auto"/>
        </w:rPr>
        <w:t>3</w:t>
      </w:r>
      <w:r>
        <w:rPr>
          <w:rFonts w:hint="eastAsia" w:ascii="仿宋_GB2312" w:hAnsi="仿宋_GB2312" w:eastAsia="仿宋_GB2312" w:cs="仿宋_GB2312"/>
          <w:b w:val="0"/>
          <w:bCs w:val="0"/>
          <w:color w:val="auto"/>
          <w:sz w:val="32"/>
          <w:szCs w:val="32"/>
          <w:highlight w:val="none"/>
          <w:shd w:val="clear" w:color="auto" w:fill="auto"/>
          <w:lang w:eastAsia="zh-Hans"/>
        </w:rPr>
        <w:t>0米范围内的区域；</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rPr>
      </w:pPr>
      <w:r>
        <w:rPr>
          <w:rFonts w:hint="eastAsia" w:ascii="仿宋_GB2312" w:hAnsi="仿宋_GB2312" w:eastAsia="仿宋_GB2312" w:cs="仿宋_GB2312"/>
          <w:b w:val="0"/>
          <w:bCs w:val="0"/>
          <w:color w:val="auto"/>
          <w:sz w:val="32"/>
          <w:szCs w:val="32"/>
          <w:highlight w:val="none"/>
          <w:shd w:val="clear" w:color="auto" w:fill="auto"/>
          <w:lang w:val="en-US" w:eastAsia="zh-CN"/>
        </w:rPr>
        <w:t>9</w:t>
      </w:r>
      <w:r>
        <w:rPr>
          <w:rFonts w:hint="eastAsia" w:ascii="仿宋_GB2312" w:hAnsi="仿宋_GB2312" w:eastAsia="仿宋_GB2312" w:cs="仿宋_GB2312"/>
          <w:b w:val="0"/>
          <w:bCs w:val="0"/>
          <w:color w:val="auto"/>
          <w:sz w:val="32"/>
          <w:szCs w:val="32"/>
          <w:highlight w:val="none"/>
          <w:shd w:val="clear" w:color="auto" w:fill="auto"/>
          <w:lang w:eastAsia="zh-Hans"/>
        </w:rPr>
        <w:t>.党政机关内部、医疗卫生机构</w:t>
      </w:r>
      <w:r>
        <w:rPr>
          <w:rFonts w:hint="eastAsia" w:ascii="仿宋_GB2312" w:hAnsi="仿宋_GB2312" w:eastAsia="仿宋_GB2312" w:cs="仿宋_GB2312"/>
          <w:b w:val="0"/>
          <w:bCs w:val="0"/>
          <w:color w:val="auto"/>
          <w:sz w:val="32"/>
          <w:szCs w:val="32"/>
          <w:highlight w:val="none"/>
          <w:shd w:val="clear" w:color="auto" w:fill="auto"/>
          <w:lang w:eastAsia="zh-CN"/>
        </w:rPr>
        <w:t>内部，</w:t>
      </w:r>
      <w:r>
        <w:rPr>
          <w:rFonts w:hint="eastAsia" w:ascii="仿宋_GB2312" w:hAnsi="仿宋_GB2312" w:eastAsia="仿宋_GB2312" w:cs="仿宋_GB2312"/>
          <w:b w:val="0"/>
          <w:bCs w:val="0"/>
          <w:color w:val="auto"/>
          <w:sz w:val="32"/>
          <w:szCs w:val="32"/>
          <w:highlight w:val="none"/>
          <w:shd w:val="clear" w:color="auto" w:fill="auto"/>
        </w:rPr>
        <w:t>与</w:t>
      </w:r>
      <w:r>
        <w:rPr>
          <w:rFonts w:hint="eastAsia" w:ascii="仿宋_GB2312" w:hAnsi="仿宋_GB2312" w:eastAsia="仿宋_GB2312" w:cs="仿宋_GB2312"/>
          <w:b w:val="0"/>
          <w:bCs w:val="0"/>
          <w:color w:val="auto"/>
          <w:sz w:val="32"/>
          <w:szCs w:val="32"/>
          <w:highlight w:val="none"/>
          <w:shd w:val="clear" w:color="auto" w:fill="auto"/>
          <w:lang w:eastAsia="zh-Hans"/>
        </w:rPr>
        <w:t>医疗卫生机构</w:t>
      </w:r>
      <w:r>
        <w:rPr>
          <w:rFonts w:hint="eastAsia" w:ascii="仿宋_GB2312" w:hAnsi="仿宋_GB2312" w:eastAsia="仿宋_GB2312" w:cs="仿宋_GB2312"/>
          <w:b w:val="0"/>
          <w:bCs w:val="0"/>
          <w:color w:val="auto"/>
          <w:sz w:val="32"/>
          <w:szCs w:val="32"/>
          <w:highlight w:val="none"/>
          <w:shd w:val="clear" w:color="auto" w:fill="auto"/>
        </w:rPr>
        <w:t>内部相连同的商铺、</w:t>
      </w:r>
      <w:r>
        <w:rPr>
          <w:rFonts w:hint="eastAsia" w:ascii="仿宋_GB2312" w:hAnsi="仿宋_GB2312" w:eastAsia="仿宋_GB2312" w:cs="仿宋_GB2312"/>
          <w:b w:val="0"/>
          <w:bCs w:val="0"/>
          <w:color w:val="auto"/>
          <w:sz w:val="32"/>
          <w:szCs w:val="32"/>
          <w:highlight w:val="none"/>
          <w:shd w:val="clear" w:color="auto" w:fill="auto"/>
          <w:lang w:eastAsia="zh-Hans"/>
        </w:rPr>
        <w:t>所属行业行政主管部门明令禁止经营卷烟类商品的区域</w:t>
      </w:r>
      <w:r>
        <w:rPr>
          <w:rFonts w:hint="eastAsia" w:ascii="仿宋_GB2312" w:hAnsi="仿宋_GB2312" w:eastAsia="仿宋_GB2312" w:cs="仿宋_GB2312"/>
          <w:b w:val="0"/>
          <w:bCs w:val="0"/>
          <w:color w:val="auto"/>
          <w:sz w:val="32"/>
          <w:szCs w:val="32"/>
          <w:highlight w:val="none"/>
          <w:shd w:val="clear" w:color="auto" w:fill="auto"/>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eastAsia="zh-Hans"/>
        </w:rPr>
      </w:pPr>
      <w:r>
        <w:rPr>
          <w:rFonts w:hint="eastAsia" w:ascii="仿宋_GB2312" w:hAnsi="仿宋_GB2312" w:eastAsia="仿宋_GB2312" w:cs="仿宋_GB2312"/>
          <w:b w:val="0"/>
          <w:bCs w:val="0"/>
          <w:color w:val="auto"/>
          <w:sz w:val="32"/>
          <w:szCs w:val="32"/>
          <w:highlight w:val="none"/>
          <w:shd w:val="clear" w:color="auto" w:fill="auto"/>
          <w:lang w:val="en-US" w:eastAsia="zh-CN"/>
        </w:rPr>
        <w:t>10</w:t>
      </w:r>
      <w:r>
        <w:rPr>
          <w:rFonts w:hint="eastAsia" w:ascii="仿宋_GB2312" w:hAnsi="仿宋_GB2312" w:eastAsia="仿宋_GB2312" w:cs="仿宋_GB2312"/>
          <w:b w:val="0"/>
          <w:bCs w:val="0"/>
          <w:color w:val="auto"/>
          <w:sz w:val="32"/>
          <w:szCs w:val="32"/>
          <w:highlight w:val="none"/>
          <w:shd w:val="clear" w:color="auto" w:fill="auto"/>
        </w:rPr>
        <w:t>.</w:t>
      </w:r>
      <w:r>
        <w:rPr>
          <w:rFonts w:hint="eastAsia" w:ascii="仿宋_GB2312" w:hAnsi="仿宋_GB2312" w:eastAsia="仿宋_GB2312" w:cs="仿宋_GB2312"/>
          <w:b w:val="0"/>
          <w:bCs w:val="0"/>
          <w:color w:val="auto"/>
          <w:sz w:val="32"/>
          <w:szCs w:val="32"/>
          <w:highlight w:val="none"/>
          <w:shd w:val="clear" w:color="auto" w:fill="auto"/>
          <w:lang w:eastAsia="zh-Hans"/>
        </w:rPr>
        <w:t>已被政府纳入征收规划且政府明令禁止办理有关证照的区域；</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rPr>
      </w:pPr>
      <w:r>
        <w:rPr>
          <w:rFonts w:hint="eastAsia" w:ascii="仿宋_GB2312" w:hAnsi="仿宋_GB2312" w:eastAsia="仿宋_GB2312" w:cs="仿宋_GB2312"/>
          <w:b w:val="0"/>
          <w:bCs w:val="0"/>
          <w:color w:val="auto"/>
          <w:sz w:val="32"/>
          <w:szCs w:val="32"/>
          <w:highlight w:val="none"/>
          <w:shd w:val="clear" w:color="auto" w:fill="auto"/>
        </w:rPr>
        <w:t>1</w:t>
      </w:r>
      <w:r>
        <w:rPr>
          <w:rFonts w:hint="eastAsia" w:ascii="仿宋_GB2312" w:hAnsi="仿宋_GB2312" w:eastAsia="仿宋_GB2312" w:cs="仿宋_GB2312"/>
          <w:b w:val="0"/>
          <w:bCs w:val="0"/>
          <w:color w:val="auto"/>
          <w:sz w:val="32"/>
          <w:szCs w:val="32"/>
          <w:highlight w:val="none"/>
          <w:shd w:val="clear" w:color="auto" w:fill="auto"/>
          <w:lang w:val="en-US" w:eastAsia="zh-CN"/>
        </w:rPr>
        <w:t>1</w:t>
      </w:r>
      <w:r>
        <w:rPr>
          <w:rFonts w:hint="eastAsia" w:ascii="仿宋_GB2312" w:hAnsi="仿宋_GB2312" w:eastAsia="仿宋_GB2312" w:cs="仿宋_GB2312"/>
          <w:b w:val="0"/>
          <w:bCs w:val="0"/>
          <w:color w:val="auto"/>
          <w:sz w:val="32"/>
          <w:szCs w:val="32"/>
          <w:highlight w:val="none"/>
          <w:shd w:val="clear" w:color="auto" w:fill="auto"/>
        </w:rPr>
        <w:t>.法律、法规、规章及相关规定不予设置零售点的其他情形。</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b w:val="0"/>
          <w:bCs w:val="0"/>
          <w:color w:val="auto"/>
          <w:sz w:val="32"/>
          <w:szCs w:val="32"/>
          <w:highlight w:val="none"/>
          <w:shd w:val="clear" w:color="auto" w:fill="auto"/>
          <w:lang w:eastAsia="zh-Hans"/>
        </w:rPr>
      </w:pPr>
      <w:r>
        <w:rPr>
          <w:rFonts w:hint="eastAsia" w:ascii="黑体" w:hAnsi="黑体" w:eastAsia="黑体" w:cs="仿宋_GB2312"/>
          <w:b w:val="0"/>
          <w:bCs w:val="0"/>
          <w:color w:val="auto"/>
          <w:sz w:val="32"/>
          <w:szCs w:val="32"/>
          <w:highlight w:val="none"/>
          <w:shd w:val="clear" w:color="auto" w:fill="auto"/>
        </w:rPr>
        <w:t>第十</w:t>
      </w:r>
      <w:r>
        <w:rPr>
          <w:rFonts w:hint="eastAsia" w:ascii="黑体" w:hAnsi="黑体" w:eastAsia="黑体" w:cs="仿宋_GB2312"/>
          <w:b w:val="0"/>
          <w:bCs w:val="0"/>
          <w:color w:val="auto"/>
          <w:sz w:val="32"/>
          <w:szCs w:val="32"/>
          <w:highlight w:val="none"/>
          <w:shd w:val="clear" w:color="auto" w:fill="auto"/>
          <w:lang w:eastAsia="zh-CN"/>
        </w:rPr>
        <w:t>四</w:t>
      </w:r>
      <w:r>
        <w:rPr>
          <w:rFonts w:hint="eastAsia" w:ascii="黑体" w:hAnsi="黑体" w:eastAsia="黑体" w:cs="仿宋_GB2312"/>
          <w:b w:val="0"/>
          <w:bCs w:val="0"/>
          <w:color w:val="auto"/>
          <w:sz w:val="32"/>
          <w:szCs w:val="32"/>
          <w:highlight w:val="none"/>
          <w:shd w:val="clear" w:color="auto" w:fill="auto"/>
        </w:rPr>
        <w:t>条</w:t>
      </w:r>
      <w:r>
        <w:rPr>
          <w:rFonts w:hint="eastAsia" w:ascii="仿宋_GB2312" w:hAnsi="仿宋_GB2312" w:eastAsia="仿宋_GB2312" w:cs="仿宋_GB2312"/>
          <w:b w:val="0"/>
          <w:bCs w:val="0"/>
          <w:color w:val="auto"/>
          <w:szCs w:val="32"/>
          <w:highlight w:val="none"/>
          <w:shd w:val="clear" w:color="auto" w:fill="auto"/>
          <w:lang w:eastAsia="zh-Hans"/>
        </w:rPr>
        <w:t xml:space="preserve">  </w:t>
      </w:r>
      <w:r>
        <w:rPr>
          <w:rFonts w:hint="eastAsia" w:ascii="仿宋_GB2312" w:hAnsi="仿宋_GB2312" w:eastAsia="仿宋_GB2312" w:cs="仿宋_GB2312"/>
          <w:b w:val="0"/>
          <w:bCs w:val="0"/>
          <w:color w:val="auto"/>
          <w:sz w:val="32"/>
          <w:szCs w:val="32"/>
          <w:highlight w:val="none"/>
          <w:shd w:val="clear" w:color="auto" w:fill="auto"/>
          <w:lang w:eastAsia="zh-Hans"/>
        </w:rPr>
        <w:t>有以下情形的，</w:t>
      </w:r>
      <w:r>
        <w:rPr>
          <w:rFonts w:hint="eastAsia" w:ascii="仿宋_GB2312" w:hAnsi="仿宋_GB2312" w:eastAsia="仿宋_GB2312" w:cs="仿宋_GB2312"/>
          <w:b w:val="0"/>
          <w:bCs w:val="0"/>
          <w:color w:val="auto"/>
          <w:sz w:val="32"/>
          <w:szCs w:val="32"/>
          <w:highlight w:val="none"/>
          <w:shd w:val="clear" w:color="auto" w:fill="auto"/>
        </w:rPr>
        <w:t>可予以适当</w:t>
      </w:r>
      <w:r>
        <w:rPr>
          <w:rFonts w:hint="eastAsia" w:ascii="仿宋_GB2312" w:hAnsi="仿宋_GB2312" w:eastAsia="仿宋_GB2312" w:cs="仿宋_GB2312"/>
          <w:b w:val="0"/>
          <w:bCs w:val="0"/>
          <w:color w:val="auto"/>
          <w:sz w:val="32"/>
          <w:szCs w:val="32"/>
          <w:highlight w:val="none"/>
          <w:shd w:val="clear" w:color="auto" w:fill="auto"/>
          <w:lang w:eastAsia="zh-Hans"/>
        </w:rPr>
        <w:t>放宽</w:t>
      </w:r>
      <w:r>
        <w:rPr>
          <w:rFonts w:hint="eastAsia" w:ascii="仿宋_GB2312" w:hAnsi="仿宋_GB2312" w:eastAsia="仿宋_GB2312" w:cs="仿宋_GB2312"/>
          <w:b w:val="0"/>
          <w:bCs w:val="0"/>
          <w:color w:val="auto"/>
          <w:sz w:val="32"/>
          <w:szCs w:val="32"/>
          <w:highlight w:val="none"/>
          <w:shd w:val="clear" w:color="auto" w:fill="auto"/>
        </w:rPr>
        <w:t>条件</w:t>
      </w:r>
      <w:r>
        <w:rPr>
          <w:rFonts w:hint="eastAsia" w:ascii="仿宋_GB2312" w:hAnsi="仿宋_GB2312" w:eastAsia="仿宋_GB2312" w:cs="仿宋_GB2312"/>
          <w:b w:val="0"/>
          <w:bCs w:val="0"/>
          <w:color w:val="auto"/>
          <w:sz w:val="32"/>
          <w:szCs w:val="32"/>
          <w:highlight w:val="none"/>
          <w:shd w:val="clear" w:color="auto" w:fill="auto"/>
          <w:lang w:eastAsia="zh-Hans"/>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Hans"/>
        </w:rPr>
        <w:t>（一）</w:t>
      </w:r>
      <w:r>
        <w:rPr>
          <w:rFonts w:hint="eastAsia" w:ascii="仿宋_GB2312" w:hAnsi="仿宋_GB2312" w:eastAsia="仿宋_GB2312" w:cs="仿宋_GB2312"/>
          <w:b w:val="0"/>
          <w:bCs w:val="0"/>
          <w:color w:val="auto"/>
          <w:sz w:val="32"/>
          <w:szCs w:val="32"/>
          <w:highlight w:val="none"/>
          <w:lang w:val="en-US" w:eastAsia="zh-CN"/>
        </w:rPr>
        <w:t>烈属、残疾</w:t>
      </w:r>
      <w:r>
        <w:rPr>
          <w:rFonts w:hint="eastAsia" w:ascii="仿宋_GB2312" w:hAnsi="仿宋_GB2312" w:eastAsia="仿宋_GB2312" w:cs="仿宋_GB2312"/>
          <w:b w:val="0"/>
          <w:bCs w:val="0"/>
          <w:strike w:val="0"/>
          <w:dstrike w:val="0"/>
          <w:color w:val="auto"/>
          <w:sz w:val="32"/>
          <w:szCs w:val="32"/>
          <w:highlight w:val="none"/>
          <w:lang w:val="en-US" w:eastAsia="zh-CN"/>
        </w:rPr>
        <w:t>人（精神残疾、智力残疾除外）申</w:t>
      </w:r>
      <w:r>
        <w:rPr>
          <w:rFonts w:hint="eastAsia" w:ascii="仿宋_GB2312" w:hAnsi="仿宋_GB2312" w:eastAsia="仿宋_GB2312" w:cs="仿宋_GB2312"/>
          <w:b w:val="0"/>
          <w:bCs w:val="0"/>
          <w:color w:val="auto"/>
          <w:sz w:val="32"/>
          <w:szCs w:val="32"/>
          <w:highlight w:val="none"/>
          <w:lang w:val="en-US" w:eastAsia="zh-CN"/>
        </w:rPr>
        <w:t>办烟草专卖零售许可证的，同时营业执照载明的企业类型为“个体工商户”或“个人独资企业”的，其间距按所规定零售点间距标准的80%执行，经营场所基于安全因素、校园周边、提交申请时间先后顺序及其它限制规定等不得向烈属、残疾人放宽条件。</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eastAsia="zh-Hans"/>
        </w:rPr>
      </w:pPr>
      <w:r>
        <w:rPr>
          <w:rFonts w:hint="eastAsia" w:ascii="仿宋_GB2312" w:hAnsi="仿宋_GB2312" w:eastAsia="仿宋_GB2312" w:cs="仿宋_GB2312"/>
          <w:b w:val="0"/>
          <w:bCs w:val="0"/>
          <w:color w:val="auto"/>
          <w:sz w:val="32"/>
          <w:szCs w:val="32"/>
          <w:highlight w:val="none"/>
          <w:shd w:val="clear" w:color="auto" w:fill="auto"/>
          <w:lang w:eastAsia="zh-Hans"/>
        </w:rPr>
        <w:t>上述申请人应当具备完全民事行为能力且可以独立经营，并应当出具烈属</w:t>
      </w:r>
      <w:r>
        <w:rPr>
          <w:rFonts w:hint="eastAsia" w:ascii="仿宋_GB2312" w:hAnsi="仿宋_GB2312" w:eastAsia="仿宋_GB2312" w:cs="仿宋_GB2312"/>
          <w:b w:val="0"/>
          <w:bCs w:val="0"/>
          <w:color w:val="auto"/>
          <w:sz w:val="32"/>
          <w:szCs w:val="32"/>
          <w:highlight w:val="none"/>
          <w:shd w:val="clear" w:color="auto" w:fill="auto"/>
          <w:lang w:eastAsia="zh-CN"/>
        </w:rPr>
        <w:t>证、</w:t>
      </w:r>
      <w:r>
        <w:rPr>
          <w:rFonts w:hint="eastAsia" w:ascii="仿宋_GB2312" w:hAnsi="仿宋_GB2312" w:eastAsia="仿宋_GB2312" w:cs="仿宋_GB2312"/>
          <w:b w:val="0"/>
          <w:bCs w:val="0"/>
          <w:color w:val="auto"/>
          <w:sz w:val="32"/>
          <w:szCs w:val="32"/>
          <w:highlight w:val="none"/>
          <w:shd w:val="clear" w:color="auto" w:fill="auto"/>
          <w:lang w:eastAsia="zh-Hans"/>
        </w:rPr>
        <w:t>残疾证等相关证明材料，</w:t>
      </w:r>
      <w:r>
        <w:rPr>
          <w:rFonts w:hint="eastAsia" w:ascii="仿宋_GB2312" w:hAnsi="仿宋_GB2312" w:eastAsia="仿宋_GB2312" w:cs="仿宋_GB2312"/>
          <w:b w:val="0"/>
          <w:bCs w:val="0"/>
          <w:color w:val="auto"/>
          <w:sz w:val="32"/>
          <w:szCs w:val="32"/>
          <w:highlight w:val="none"/>
          <w:shd w:val="clear" w:color="auto" w:fill="auto"/>
        </w:rPr>
        <w:t>且在</w:t>
      </w:r>
      <w:r>
        <w:rPr>
          <w:rFonts w:hint="eastAsia" w:ascii="仿宋_GB2312" w:hAnsi="仿宋_GB2312" w:eastAsia="仿宋_GB2312" w:cs="仿宋_GB2312"/>
          <w:b w:val="0"/>
          <w:bCs w:val="0"/>
          <w:color w:val="auto"/>
          <w:sz w:val="32"/>
          <w:szCs w:val="32"/>
          <w:highlight w:val="none"/>
          <w:shd w:val="clear" w:color="auto" w:fill="auto"/>
          <w:lang w:eastAsia="zh-CN"/>
        </w:rPr>
        <w:t>石家庄市（含辛集市）</w:t>
      </w:r>
      <w:r>
        <w:rPr>
          <w:rFonts w:hint="eastAsia" w:ascii="仿宋_GB2312" w:hAnsi="仿宋_GB2312" w:eastAsia="仿宋_GB2312" w:cs="仿宋_GB2312"/>
          <w:b w:val="0"/>
          <w:bCs w:val="0"/>
          <w:color w:val="auto"/>
          <w:sz w:val="32"/>
          <w:szCs w:val="32"/>
          <w:highlight w:val="none"/>
          <w:shd w:val="clear" w:color="auto" w:fill="auto"/>
        </w:rPr>
        <w:t>范围内</w:t>
      </w:r>
      <w:r>
        <w:rPr>
          <w:rFonts w:hint="eastAsia" w:ascii="仿宋_GB2312" w:hAnsi="仿宋_GB2312" w:eastAsia="仿宋_GB2312" w:cs="仿宋_GB2312"/>
          <w:b w:val="0"/>
          <w:bCs w:val="0"/>
          <w:color w:val="auto"/>
          <w:sz w:val="32"/>
          <w:szCs w:val="32"/>
          <w:highlight w:val="none"/>
          <w:shd w:val="clear" w:color="auto" w:fill="auto"/>
          <w:lang w:eastAsia="zh-Hans"/>
        </w:rPr>
        <w:t>享受一次照顾政策。</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eastAsia="zh-Hans"/>
        </w:rPr>
      </w:pPr>
      <w:r>
        <w:rPr>
          <w:rFonts w:hint="eastAsia" w:ascii="仿宋_GB2312" w:hAnsi="仿宋_GB2312" w:eastAsia="仿宋_GB2312" w:cs="仿宋_GB2312"/>
          <w:b w:val="0"/>
          <w:bCs w:val="0"/>
          <w:color w:val="auto"/>
          <w:sz w:val="32"/>
          <w:szCs w:val="32"/>
          <w:highlight w:val="none"/>
          <w:shd w:val="clear" w:color="auto" w:fill="auto"/>
          <w:lang w:eastAsia="zh-Hans"/>
        </w:rPr>
        <w:t>烈属</w:t>
      </w:r>
      <w:r>
        <w:rPr>
          <w:rFonts w:hint="eastAsia" w:ascii="仿宋_GB2312" w:hAnsi="仿宋_GB2312" w:eastAsia="仿宋_GB2312" w:cs="仿宋_GB2312"/>
          <w:b w:val="0"/>
          <w:bCs w:val="0"/>
          <w:color w:val="auto"/>
          <w:sz w:val="32"/>
          <w:szCs w:val="32"/>
          <w:highlight w:val="none"/>
          <w:shd w:val="clear" w:color="auto" w:fill="auto"/>
          <w:lang w:eastAsia="zh-CN"/>
        </w:rPr>
        <w:t>、</w:t>
      </w:r>
      <w:r>
        <w:rPr>
          <w:rFonts w:hint="eastAsia" w:ascii="仿宋_GB2312" w:hAnsi="仿宋_GB2312" w:eastAsia="仿宋_GB2312" w:cs="仿宋_GB2312"/>
          <w:b w:val="0"/>
          <w:bCs w:val="0"/>
          <w:color w:val="auto"/>
          <w:sz w:val="32"/>
          <w:szCs w:val="32"/>
          <w:highlight w:val="none"/>
          <w:shd w:val="clear" w:color="auto" w:fill="auto"/>
          <w:lang w:eastAsia="zh-Hans"/>
        </w:rPr>
        <w:t>残疾人申办的零售许可证包含在</w:t>
      </w:r>
      <w:r>
        <w:rPr>
          <w:rFonts w:hint="eastAsia" w:ascii="仿宋_GB2312" w:hAnsi="仿宋_GB2312" w:eastAsia="仿宋_GB2312" w:cs="仿宋_GB2312"/>
          <w:b w:val="0"/>
          <w:bCs w:val="0"/>
          <w:color w:val="auto"/>
          <w:sz w:val="32"/>
          <w:szCs w:val="32"/>
          <w:highlight w:val="none"/>
          <w:shd w:val="clear" w:color="auto" w:fill="auto"/>
          <w:lang w:eastAsia="zh-CN"/>
        </w:rPr>
        <w:t>网格</w:t>
      </w:r>
      <w:r>
        <w:rPr>
          <w:rFonts w:hint="eastAsia" w:ascii="仿宋_GB2312" w:hAnsi="仿宋_GB2312" w:eastAsia="仿宋_GB2312" w:cs="仿宋_GB2312"/>
          <w:b w:val="0"/>
          <w:bCs w:val="0"/>
          <w:color w:val="auto"/>
          <w:sz w:val="32"/>
          <w:szCs w:val="32"/>
          <w:highlight w:val="none"/>
          <w:shd w:val="clear" w:color="auto" w:fill="auto"/>
        </w:rPr>
        <w:t>单元及</w:t>
      </w:r>
      <w:r>
        <w:rPr>
          <w:rFonts w:hint="eastAsia" w:ascii="仿宋_GB2312" w:hAnsi="仿宋_GB2312" w:eastAsia="仿宋_GB2312" w:cs="仿宋_GB2312"/>
          <w:b w:val="0"/>
          <w:bCs w:val="0"/>
          <w:color w:val="auto"/>
          <w:sz w:val="32"/>
          <w:szCs w:val="32"/>
          <w:highlight w:val="none"/>
          <w:shd w:val="clear" w:color="auto" w:fill="auto"/>
          <w:lang w:eastAsia="zh-Hans"/>
        </w:rPr>
        <w:t>小区、市场</w:t>
      </w:r>
      <w:r>
        <w:rPr>
          <w:rFonts w:hint="eastAsia" w:ascii="仿宋_GB2312" w:hAnsi="仿宋_GB2312" w:eastAsia="仿宋_GB2312" w:cs="仿宋_GB2312"/>
          <w:b w:val="0"/>
          <w:bCs w:val="0"/>
          <w:color w:val="auto"/>
          <w:sz w:val="32"/>
          <w:szCs w:val="32"/>
          <w:highlight w:val="none"/>
          <w:shd w:val="clear" w:color="auto" w:fill="auto"/>
          <w:lang w:eastAsia="zh-CN"/>
        </w:rPr>
        <w:t>（园区）</w:t>
      </w:r>
      <w:r>
        <w:rPr>
          <w:rFonts w:hint="eastAsia" w:ascii="仿宋_GB2312" w:hAnsi="仿宋_GB2312" w:eastAsia="仿宋_GB2312" w:cs="仿宋_GB2312"/>
          <w:b w:val="0"/>
          <w:bCs w:val="0"/>
          <w:color w:val="auto"/>
          <w:sz w:val="32"/>
          <w:szCs w:val="32"/>
          <w:highlight w:val="none"/>
          <w:shd w:val="clear" w:color="auto" w:fill="auto"/>
          <w:lang w:eastAsia="zh-Hans"/>
        </w:rPr>
        <w:t>零售点的总数范围内。</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eastAsia="zh-Hans"/>
        </w:rPr>
      </w:pPr>
      <w:r>
        <w:rPr>
          <w:rFonts w:hint="eastAsia" w:ascii="仿宋_GB2312" w:hAnsi="仿宋_GB2312" w:eastAsia="仿宋_GB2312" w:cs="仿宋_GB2312"/>
          <w:b w:val="0"/>
          <w:bCs w:val="0"/>
          <w:color w:val="auto"/>
          <w:sz w:val="32"/>
          <w:szCs w:val="32"/>
          <w:highlight w:val="none"/>
          <w:shd w:val="clear" w:color="auto" w:fill="auto"/>
          <w:lang w:eastAsia="zh-Hans"/>
        </w:rPr>
        <w:t>家庭经营的个体工商户，残疾人不得将零售许可证变更为非残疾人的家庭成员。</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eastAsia="zh-Hans"/>
        </w:rPr>
      </w:pPr>
      <w:r>
        <w:rPr>
          <w:rFonts w:hint="eastAsia" w:ascii="仿宋_GB2312" w:hAnsi="仿宋_GB2312" w:eastAsia="仿宋_GB2312" w:cs="仿宋_GB2312"/>
          <w:b w:val="0"/>
          <w:bCs w:val="0"/>
          <w:color w:val="auto"/>
          <w:sz w:val="32"/>
          <w:szCs w:val="32"/>
          <w:highlight w:val="none"/>
          <w:shd w:val="clear" w:color="auto" w:fill="auto"/>
          <w:lang w:eastAsia="zh-CN"/>
        </w:rPr>
        <w:t>现存的法定代表人、负责人为残疾人的，不得将烟草专卖零售许可证持证人变更非残疾人。</w:t>
      </w:r>
    </w:p>
    <w:p>
      <w:pPr>
        <w:keepNext w:val="0"/>
        <w:keepLines w:val="0"/>
        <w:pageBreakBefore w:val="0"/>
        <w:numPr>
          <w:ilvl w:val="0"/>
          <w:numId w:val="3"/>
        </w:numPr>
        <w:kinsoku/>
        <w:wordWrap/>
        <w:overflowPunct/>
        <w:topLinePunct w:val="0"/>
        <w:autoSpaceDE/>
        <w:autoSpaceDN/>
        <w:bidi w:val="0"/>
        <w:adjustRightInd/>
        <w:snapToGrid/>
        <w:spacing w:line="240" w:lineRule="auto"/>
        <w:ind w:left="-10" w:leftChars="0" w:firstLine="640" w:firstLineChars="0"/>
        <w:textAlignment w:val="auto"/>
        <w:rPr>
          <w:rFonts w:hint="eastAsia" w:ascii="仿宋_GB2312" w:hAnsi="仿宋_GB2312" w:eastAsia="仿宋_GB2312" w:cs="仿宋_GB2312"/>
          <w:b w:val="0"/>
          <w:bCs w:val="0"/>
          <w:color w:val="auto"/>
          <w:sz w:val="32"/>
          <w:szCs w:val="32"/>
          <w:highlight w:val="none"/>
          <w:shd w:val="clear" w:color="auto" w:fill="auto"/>
          <w:lang w:eastAsia="zh-CN"/>
        </w:rPr>
      </w:pPr>
      <w:r>
        <w:rPr>
          <w:rFonts w:hint="eastAsia" w:ascii="仿宋_GB2312" w:hAnsi="仿宋_GB2312" w:eastAsia="仿宋_GB2312" w:cs="仿宋_GB2312"/>
          <w:b w:val="0"/>
          <w:bCs w:val="0"/>
          <w:color w:val="auto"/>
          <w:sz w:val="32"/>
          <w:szCs w:val="32"/>
          <w:highlight w:val="none"/>
          <w:shd w:val="clear" w:color="auto" w:fill="auto"/>
          <w:lang w:val="en-US" w:eastAsia="zh-CN"/>
        </w:rPr>
        <w:t>因道路规划、城市建设等客观原因造成无法在核定经营地址经营，持证人申请变更到原发证机关辖区内其他地址经营的，</w:t>
      </w:r>
      <w:r>
        <w:rPr>
          <w:rFonts w:hint="eastAsia" w:ascii="仿宋_GB2312" w:hAnsi="仿宋_GB2312" w:eastAsia="仿宋_GB2312" w:cs="仿宋_GB2312"/>
          <w:b w:val="0"/>
          <w:bCs w:val="0"/>
          <w:color w:val="auto"/>
          <w:sz w:val="32"/>
          <w:szCs w:val="32"/>
          <w:highlight w:val="none"/>
          <w:shd w:val="clear" w:color="auto" w:fill="auto"/>
        </w:rPr>
        <w:t>其间距按所规定零售点间距的80%执行</w:t>
      </w:r>
      <w:r>
        <w:rPr>
          <w:rFonts w:hint="eastAsia" w:ascii="仿宋_GB2312" w:hAnsi="仿宋_GB2312" w:eastAsia="仿宋_GB2312" w:cs="仿宋_GB2312"/>
          <w:b w:val="0"/>
          <w:bCs w:val="0"/>
          <w:color w:val="auto"/>
          <w:sz w:val="32"/>
          <w:szCs w:val="32"/>
          <w:highlight w:val="none"/>
          <w:shd w:val="clear" w:color="auto" w:fill="auto"/>
          <w:lang w:eastAsia="zh-CN"/>
        </w:rPr>
        <w:t>，</w:t>
      </w:r>
      <w:r>
        <w:rPr>
          <w:rFonts w:hint="eastAsia" w:ascii="仿宋_GB2312" w:hAnsi="仿宋_GB2312" w:eastAsia="仿宋_GB2312" w:cs="仿宋_GB2312"/>
          <w:b w:val="0"/>
          <w:bCs w:val="0"/>
          <w:color w:val="auto"/>
          <w:sz w:val="32"/>
          <w:szCs w:val="32"/>
          <w:highlight w:val="none"/>
          <w:shd w:val="clear" w:color="auto" w:fill="auto"/>
        </w:rPr>
        <w:t>不受</w:t>
      </w:r>
      <w:r>
        <w:rPr>
          <w:rFonts w:hint="eastAsia" w:ascii="仿宋_GB2312" w:hAnsi="仿宋_GB2312" w:eastAsia="仿宋_GB2312" w:cs="仿宋_GB2312"/>
          <w:b w:val="0"/>
          <w:bCs w:val="0"/>
          <w:color w:val="auto"/>
          <w:sz w:val="32"/>
          <w:szCs w:val="32"/>
          <w:highlight w:val="none"/>
          <w:shd w:val="clear" w:color="auto" w:fill="auto"/>
          <w:lang w:eastAsia="zh-CN"/>
        </w:rPr>
        <w:t>网格</w:t>
      </w:r>
      <w:r>
        <w:rPr>
          <w:rFonts w:hint="eastAsia" w:ascii="仿宋_GB2312" w:hAnsi="仿宋_GB2312" w:eastAsia="仿宋_GB2312" w:cs="仿宋_GB2312"/>
          <w:b w:val="0"/>
          <w:bCs w:val="0"/>
          <w:color w:val="auto"/>
          <w:sz w:val="32"/>
          <w:szCs w:val="32"/>
          <w:highlight w:val="none"/>
          <w:shd w:val="clear" w:color="auto" w:fill="auto"/>
        </w:rPr>
        <w:t>单元</w:t>
      </w:r>
      <w:r>
        <w:rPr>
          <w:rFonts w:hint="eastAsia" w:ascii="仿宋_GB2312" w:hAnsi="仿宋_GB2312" w:eastAsia="仿宋_GB2312" w:cs="仿宋_GB2312"/>
          <w:b w:val="0"/>
          <w:bCs w:val="0"/>
          <w:color w:val="auto"/>
          <w:sz w:val="32"/>
          <w:szCs w:val="32"/>
          <w:highlight w:val="none"/>
          <w:shd w:val="clear" w:color="auto" w:fill="auto"/>
          <w:lang w:eastAsia="zh-CN"/>
        </w:rPr>
        <w:t>办证名额</w:t>
      </w:r>
      <w:r>
        <w:rPr>
          <w:rFonts w:hint="eastAsia" w:ascii="仿宋_GB2312" w:hAnsi="仿宋_GB2312" w:eastAsia="仿宋_GB2312" w:cs="仿宋_GB2312"/>
          <w:b w:val="0"/>
          <w:bCs w:val="0"/>
          <w:color w:val="auto"/>
          <w:sz w:val="32"/>
          <w:szCs w:val="32"/>
          <w:highlight w:val="none"/>
          <w:shd w:val="clear" w:color="auto" w:fill="auto"/>
        </w:rPr>
        <w:t>限制</w:t>
      </w:r>
      <w:r>
        <w:rPr>
          <w:rFonts w:hint="eastAsia" w:ascii="仿宋_GB2312" w:hAnsi="仿宋_GB2312" w:eastAsia="仿宋_GB2312" w:cs="仿宋_GB2312"/>
          <w:b w:val="0"/>
          <w:bCs w:val="0"/>
          <w:color w:val="auto"/>
          <w:sz w:val="32"/>
          <w:szCs w:val="32"/>
          <w:highlight w:val="none"/>
          <w:shd w:val="clear" w:color="auto" w:fill="auto"/>
          <w:lang w:eastAsia="zh-CN"/>
        </w:rPr>
        <w:t>。</w:t>
      </w:r>
      <w:r>
        <w:rPr>
          <w:rFonts w:hint="eastAsia" w:ascii="仿宋_GB2312" w:hAnsi="仿宋_GB2312" w:eastAsia="仿宋_GB2312" w:cs="仿宋_GB2312"/>
          <w:b w:val="0"/>
          <w:bCs w:val="0"/>
          <w:color w:val="auto"/>
          <w:sz w:val="32"/>
          <w:szCs w:val="32"/>
          <w:highlight w:val="none"/>
          <w:shd w:val="clear" w:color="auto" w:fill="auto"/>
        </w:rPr>
        <w:t>持证人申请到原发证机关</w:t>
      </w:r>
      <w:r>
        <w:rPr>
          <w:rFonts w:hint="eastAsia" w:ascii="仿宋_GB2312" w:hAnsi="仿宋_GB2312" w:eastAsia="仿宋_GB2312" w:cs="仿宋_GB2312"/>
          <w:b w:val="0"/>
          <w:bCs w:val="0"/>
          <w:color w:val="auto"/>
          <w:sz w:val="32"/>
          <w:szCs w:val="32"/>
          <w:highlight w:val="none"/>
          <w:shd w:val="clear" w:color="auto" w:fill="auto"/>
          <w:lang w:eastAsia="zh-CN"/>
        </w:rPr>
        <w:t>所辖区域</w:t>
      </w:r>
      <w:r>
        <w:rPr>
          <w:rFonts w:hint="eastAsia" w:ascii="仿宋_GB2312" w:hAnsi="仿宋_GB2312" w:eastAsia="仿宋_GB2312" w:cs="仿宋_GB2312"/>
          <w:b w:val="0"/>
          <w:bCs w:val="0"/>
          <w:color w:val="auto"/>
          <w:sz w:val="32"/>
          <w:szCs w:val="32"/>
          <w:highlight w:val="none"/>
          <w:shd w:val="clear" w:color="auto" w:fill="auto"/>
        </w:rPr>
        <w:t>以外地址办证的，需</w:t>
      </w:r>
      <w:r>
        <w:rPr>
          <w:rFonts w:hint="eastAsia" w:ascii="仿宋_GB2312" w:hAnsi="仿宋_GB2312" w:eastAsia="仿宋_GB2312" w:cs="仿宋_GB2312"/>
          <w:b w:val="0"/>
          <w:bCs w:val="0"/>
          <w:color w:val="auto"/>
          <w:sz w:val="32"/>
          <w:szCs w:val="32"/>
          <w:highlight w:val="none"/>
          <w:shd w:val="clear" w:color="auto" w:fill="auto"/>
          <w:lang w:eastAsia="zh-CN"/>
        </w:rPr>
        <w:t>按照当地的</w:t>
      </w:r>
      <w:r>
        <w:rPr>
          <w:rFonts w:hint="eastAsia" w:ascii="仿宋_GB2312" w:hAnsi="仿宋_GB2312" w:eastAsia="仿宋_GB2312" w:cs="仿宋_GB2312"/>
          <w:b w:val="0"/>
          <w:bCs w:val="0"/>
          <w:color w:val="auto"/>
          <w:sz w:val="32"/>
          <w:szCs w:val="32"/>
          <w:highlight w:val="none"/>
          <w:shd w:val="clear" w:color="auto" w:fill="auto"/>
        </w:rPr>
        <w:t>烟草制品零售点合理布局</w:t>
      </w:r>
      <w:r>
        <w:rPr>
          <w:rFonts w:hint="eastAsia" w:ascii="仿宋_GB2312" w:hAnsi="仿宋_GB2312" w:eastAsia="仿宋_GB2312" w:cs="仿宋_GB2312"/>
          <w:b w:val="0"/>
          <w:bCs w:val="0"/>
          <w:color w:val="auto"/>
          <w:sz w:val="32"/>
          <w:szCs w:val="32"/>
          <w:highlight w:val="none"/>
          <w:shd w:val="clear" w:color="auto" w:fill="auto"/>
          <w:lang w:eastAsia="zh-CN"/>
        </w:rPr>
        <w:t>规划</w:t>
      </w:r>
      <w:r>
        <w:rPr>
          <w:rFonts w:hint="eastAsia" w:ascii="仿宋_GB2312" w:hAnsi="仿宋_GB2312" w:eastAsia="仿宋_GB2312" w:cs="仿宋_GB2312"/>
          <w:b w:val="0"/>
          <w:bCs w:val="0"/>
          <w:color w:val="auto"/>
          <w:sz w:val="32"/>
          <w:szCs w:val="32"/>
          <w:highlight w:val="none"/>
          <w:shd w:val="clear" w:color="auto" w:fill="auto"/>
        </w:rPr>
        <w:t>重新办理烟草专卖零售许可证</w:t>
      </w:r>
      <w:r>
        <w:rPr>
          <w:rFonts w:hint="eastAsia" w:ascii="仿宋_GB2312" w:hAnsi="仿宋_GB2312" w:eastAsia="仿宋_GB2312" w:cs="仿宋_GB2312"/>
          <w:b w:val="0"/>
          <w:bCs w:val="0"/>
          <w:color w:val="auto"/>
          <w:sz w:val="32"/>
          <w:szCs w:val="32"/>
          <w:highlight w:val="none"/>
          <w:shd w:val="clear" w:color="auto" w:fill="auto"/>
          <w:lang w:eastAsia="zh-CN"/>
        </w:rPr>
        <w:t>。</w:t>
      </w:r>
    </w:p>
    <w:p>
      <w:pPr>
        <w:keepNext w:val="0"/>
        <w:keepLines w:val="0"/>
        <w:pageBreakBefore w:val="0"/>
        <w:numPr>
          <w:ilvl w:val="0"/>
          <w:numId w:val="3"/>
        </w:numPr>
        <w:kinsoku/>
        <w:wordWrap/>
        <w:overflowPunct/>
        <w:topLinePunct w:val="0"/>
        <w:autoSpaceDE/>
        <w:autoSpaceDN/>
        <w:bidi w:val="0"/>
        <w:adjustRightInd/>
        <w:snapToGrid/>
        <w:spacing w:line="240" w:lineRule="auto"/>
        <w:ind w:left="-10" w:leftChars="0" w:firstLine="640" w:firstLine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雪茄烟专营零售点具备以下经营条件的，不受网格单元办证名限制、所在区域零售点数量限制和零售点间的距离限制，且</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不作为其他申办点间距的参照物</w:t>
      </w:r>
      <w:r>
        <w:rPr>
          <w:rFonts w:hint="eastAsia" w:ascii="仿宋_GB2312" w:hAnsi="仿宋_GB2312" w:eastAsia="仿宋_GB2312" w:cs="仿宋_GB2312"/>
          <w:sz w:val="32"/>
          <w:szCs w:val="32"/>
          <w:highlight w:val="none"/>
          <w:lang w:val="en-US" w:eastAsia="zh-CN"/>
        </w:rPr>
        <w:t>：</w:t>
      </w:r>
    </w:p>
    <w:p>
      <w:pPr>
        <w:numPr>
          <w:ilvl w:val="0"/>
          <w:numId w:val="0"/>
        </w:numPr>
        <w:ind w:firstLine="320" w:firstLineChars="1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（1）主营业务为雪茄烟零售；</w:t>
      </w:r>
    </w:p>
    <w:p>
      <w:pPr>
        <w:numPr>
          <w:ilvl w:val="0"/>
          <w:numId w:val="0"/>
        </w:numPr>
        <w:ind w:firstLine="320" w:firstLineChars="1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（2）经营场所面积50平方米以上；</w:t>
      </w:r>
    </w:p>
    <w:p>
      <w:pPr>
        <w:numPr>
          <w:ilvl w:val="0"/>
          <w:numId w:val="0"/>
        </w:numPr>
        <w:ind w:firstLine="320" w:firstLineChars="1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（3）经营场所内具备5平米以上专业恒温恒湿系统的独立雪茄养护房或者配备总容量150升以上的具有的恒温恒湿功能的雪茄烟柜。</w:t>
      </w:r>
    </w:p>
    <w:p>
      <w:pPr>
        <w:numPr>
          <w:ilvl w:val="0"/>
          <w:numId w:val="0"/>
        </w:numPr>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雪茄烟专营零售点，指申请人申请的烟草专卖零售许可范围仅为“雪茄烟本店零售”，且能提供雪茄烟专业服务和体验，有相对固定的雪茄烟专业存储设备的雪茄烟销售场所。</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val="en-US" w:eastAsia="zh-CN"/>
        </w:rPr>
      </w:pPr>
      <w:r>
        <w:rPr>
          <w:rFonts w:hint="eastAsia" w:ascii="仿宋_GB2312" w:hAnsi="仿宋_GB2312" w:eastAsia="仿宋_GB2312" w:cs="仿宋_GB2312"/>
          <w:sz w:val="32"/>
          <w:szCs w:val="32"/>
          <w:highlight w:val="none"/>
          <w:lang w:val="en-US" w:eastAsia="zh-CN"/>
        </w:rPr>
        <w:t>雪茄烟</w:t>
      </w:r>
      <w:r>
        <w:rPr>
          <w:rFonts w:hint="eastAsia" w:ascii="仿宋_GB2312" w:hAnsi="仿宋_GB2312" w:eastAsia="仿宋_GB2312" w:cs="仿宋_GB2312"/>
          <w:color w:val="000000"/>
          <w:sz w:val="32"/>
          <w:szCs w:val="32"/>
          <w:highlight w:val="none"/>
          <w:lang w:val="en-US" w:eastAsia="zh-CN"/>
        </w:rPr>
        <w:t>专营</w:t>
      </w:r>
      <w:r>
        <w:rPr>
          <w:rFonts w:hint="eastAsia" w:ascii="仿宋_GB2312" w:hAnsi="仿宋_GB2312" w:eastAsia="仿宋_GB2312" w:cs="仿宋_GB2312"/>
          <w:sz w:val="32"/>
          <w:szCs w:val="32"/>
          <w:highlight w:val="none"/>
          <w:lang w:val="en-US" w:eastAsia="zh-CN"/>
        </w:rPr>
        <w:t>零售点申请变更许可范围的，应当符合当地烟草制品零售点合理布局规定求和河北省电子烟零售点合理布局规划要求。</w:t>
      </w:r>
    </w:p>
    <w:p>
      <w:pPr>
        <w:keepNext w:val="0"/>
        <w:keepLines w:val="0"/>
        <w:pageBreakBefore w:val="0"/>
        <w:numPr>
          <w:ilvl w:val="0"/>
          <w:numId w:val="3"/>
        </w:numPr>
        <w:kinsoku/>
        <w:wordWrap/>
        <w:overflowPunct/>
        <w:topLinePunct w:val="0"/>
        <w:autoSpaceDE/>
        <w:autoSpaceDN/>
        <w:bidi w:val="0"/>
        <w:adjustRightInd/>
        <w:snapToGrid/>
        <w:spacing w:line="240" w:lineRule="auto"/>
        <w:ind w:left="-10" w:leftChars="0" w:firstLine="640" w:firstLineChars="0"/>
        <w:textAlignment w:val="auto"/>
        <w:rPr>
          <w:rFonts w:hint="eastAsia" w:ascii="仿宋_GB2312" w:hAnsi="仿宋_GB2312" w:eastAsia="仿宋_GB2312" w:cs="仿宋_GB2312"/>
          <w:b w:val="0"/>
          <w:bCs w:val="0"/>
          <w:color w:val="auto"/>
          <w:sz w:val="32"/>
          <w:szCs w:val="32"/>
          <w:highlight w:val="none"/>
          <w:shd w:val="clear" w:color="auto" w:fill="auto"/>
          <w:lang w:eastAsia="zh-CN"/>
        </w:rPr>
      </w:pPr>
      <w:r>
        <w:rPr>
          <w:rFonts w:hint="eastAsia" w:ascii="仿宋_GB2312" w:hAnsi="仿宋_GB2312" w:eastAsia="仿宋_GB2312" w:cs="仿宋_GB2312"/>
          <w:b w:val="0"/>
          <w:bCs w:val="0"/>
          <w:color w:val="auto"/>
          <w:sz w:val="32"/>
          <w:szCs w:val="32"/>
          <w:highlight w:val="none"/>
          <w:shd w:val="clear" w:color="auto" w:fill="auto"/>
          <w:lang w:val="en-US" w:eastAsia="zh-CN"/>
        </w:rPr>
        <w:t>非家庭经营的个体工商户，持证户人死亡的，其父母、配偶、子女拟在原址继续经营烟草制品的，在原烟草专卖零售许可证有效期内依法注销的当天同时提出新办申请，不受零售点间距和数量限制（包括所属网格单元办证名额和所属区域数量），但应符合其他办证要求</w:t>
      </w:r>
      <w:r>
        <w:rPr>
          <w:rFonts w:hint="default" w:ascii="仿宋_GB2312" w:hAnsi="Calibri" w:eastAsia="仿宋_GB2312" w:cs="仿宋_GB2312"/>
          <w:i w:val="0"/>
          <w:iCs w:val="0"/>
          <w:caps w:val="0"/>
          <w:color w:val="auto"/>
          <w:spacing w:val="0"/>
          <w:kern w:val="0"/>
          <w:sz w:val="32"/>
          <w:szCs w:val="32"/>
          <w:highlight w:val="none"/>
          <w:shd w:val="clear" w:color="auto" w:fill="FFFFFF"/>
          <w:lang w:val="en-US" w:eastAsia="zh-CN" w:bidi="ar"/>
        </w:rPr>
        <w:t>，也作为其他零售点办证的参照物</w:t>
      </w:r>
      <w:r>
        <w:rPr>
          <w:rFonts w:hint="eastAsia" w:ascii="仿宋_GB2312" w:hAnsi="仿宋_GB2312" w:eastAsia="仿宋_GB2312" w:cs="仿宋_GB2312"/>
          <w:b w:val="0"/>
          <w:bCs w:val="0"/>
          <w:color w:val="auto"/>
          <w:sz w:val="32"/>
          <w:szCs w:val="32"/>
          <w:highlight w:val="none"/>
          <w:shd w:val="clear" w:color="auto" w:fill="auto"/>
          <w:lang w:val="en-US" w:eastAsia="zh-CN"/>
        </w:rPr>
        <w:t>。</w:t>
      </w:r>
    </w:p>
    <w:p>
      <w:pPr>
        <w:numPr>
          <w:ilvl w:val="0"/>
          <w:numId w:val="0"/>
        </w:numPr>
        <w:spacing w:line="64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w:t>
      </w:r>
      <w:r>
        <w:rPr>
          <w:rFonts w:hint="default" w:ascii="仿宋_GB2312" w:hAnsi="仿宋_GB2312" w:eastAsia="仿宋_GB2312" w:cs="仿宋_GB2312"/>
          <w:color w:val="auto"/>
          <w:sz w:val="32"/>
          <w:szCs w:val="32"/>
          <w:highlight w:val="none"/>
          <w:lang w:val="en-US" w:eastAsia="zh-CN"/>
        </w:rPr>
        <w:t>因中小学校</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幼儿园新</w:t>
      </w:r>
      <w:r>
        <w:rPr>
          <w:rFonts w:hint="eastAsia" w:ascii="仿宋_GB2312" w:hAnsi="仿宋_GB2312" w:eastAsia="仿宋_GB2312" w:cs="仿宋_GB2312"/>
          <w:color w:val="auto"/>
          <w:sz w:val="32"/>
          <w:szCs w:val="32"/>
          <w:highlight w:val="none"/>
          <w:lang w:val="en-US" w:eastAsia="zh-CN"/>
        </w:rPr>
        <w:t>建、改建</w:t>
      </w:r>
      <w:r>
        <w:rPr>
          <w:rFonts w:hint="default" w:ascii="仿宋_GB2312" w:hAnsi="仿宋_GB2312" w:eastAsia="仿宋_GB2312" w:cs="仿宋_GB2312"/>
          <w:color w:val="auto"/>
          <w:sz w:val="32"/>
          <w:szCs w:val="32"/>
          <w:highlight w:val="none"/>
          <w:lang w:val="en-US" w:eastAsia="zh-CN"/>
        </w:rPr>
        <w:t>、扩建</w:t>
      </w:r>
      <w:r>
        <w:rPr>
          <w:rFonts w:hint="eastAsia" w:ascii="仿宋_GB2312" w:hAnsi="仿宋_GB2312" w:eastAsia="仿宋_GB2312" w:cs="仿宋_GB2312"/>
          <w:color w:val="auto"/>
          <w:sz w:val="32"/>
          <w:szCs w:val="32"/>
          <w:highlight w:val="none"/>
          <w:lang w:val="en-US" w:eastAsia="zh-CN"/>
        </w:rPr>
        <w:t>，或因本地烟草制品零售点合理布局规定修订等客观原因</w:t>
      </w:r>
      <w:r>
        <w:rPr>
          <w:rFonts w:hint="default" w:ascii="仿宋_GB2312" w:hAnsi="仿宋_GB2312" w:eastAsia="仿宋_GB2312" w:cs="仿宋_GB2312"/>
          <w:color w:val="auto"/>
          <w:sz w:val="32"/>
          <w:szCs w:val="32"/>
          <w:highlight w:val="none"/>
          <w:lang w:val="en-US" w:eastAsia="zh-CN"/>
        </w:rPr>
        <w:t>，导致经营场所不符合校园周边间距要求</w:t>
      </w:r>
      <w:r>
        <w:rPr>
          <w:rFonts w:hint="eastAsia" w:ascii="仿宋_GB2312" w:hAnsi="仿宋_GB2312" w:eastAsia="仿宋_GB2312" w:cs="仿宋_GB2312"/>
          <w:color w:val="auto"/>
          <w:sz w:val="32"/>
          <w:szCs w:val="32"/>
          <w:highlight w:val="none"/>
          <w:lang w:val="en-US" w:eastAsia="zh-CN"/>
        </w:rPr>
        <w:t>，烟草专卖零售许可证</w:t>
      </w:r>
      <w:r>
        <w:rPr>
          <w:rFonts w:hint="default" w:ascii="仿宋_GB2312" w:hAnsi="仿宋_GB2312" w:eastAsia="仿宋_GB2312" w:cs="仿宋_GB2312"/>
          <w:color w:val="auto"/>
          <w:sz w:val="32"/>
          <w:szCs w:val="32"/>
          <w:highlight w:val="none"/>
          <w:lang w:val="en-US" w:eastAsia="zh-CN"/>
        </w:rPr>
        <w:t>到期</w:t>
      </w:r>
      <w:r>
        <w:rPr>
          <w:rFonts w:hint="eastAsia" w:ascii="仿宋_GB2312" w:hAnsi="仿宋_GB2312" w:eastAsia="仿宋_GB2312" w:cs="仿宋_GB2312"/>
          <w:color w:val="auto"/>
          <w:sz w:val="32"/>
          <w:szCs w:val="32"/>
          <w:highlight w:val="none"/>
          <w:lang w:val="en-US" w:eastAsia="zh-CN"/>
        </w:rPr>
        <w:t>不能</w:t>
      </w:r>
      <w:r>
        <w:rPr>
          <w:rFonts w:hint="default" w:ascii="仿宋_GB2312" w:hAnsi="仿宋_GB2312" w:eastAsia="仿宋_GB2312" w:cs="仿宋_GB2312"/>
          <w:color w:val="auto"/>
          <w:sz w:val="32"/>
          <w:szCs w:val="32"/>
          <w:highlight w:val="none"/>
          <w:lang w:val="en-US" w:eastAsia="zh-CN"/>
        </w:rPr>
        <w:t>延续的，</w:t>
      </w:r>
      <w:r>
        <w:rPr>
          <w:rFonts w:hint="eastAsia" w:ascii="仿宋_GB2312" w:hAnsi="仿宋_GB2312" w:eastAsia="仿宋_GB2312" w:cs="仿宋_GB2312"/>
          <w:color w:val="auto"/>
          <w:sz w:val="32"/>
          <w:szCs w:val="32"/>
          <w:highlight w:val="none"/>
          <w:lang w:val="en-US" w:eastAsia="zh-CN"/>
        </w:rPr>
        <w:t>在烟草专卖零售许可证有效期内，</w:t>
      </w:r>
      <w:r>
        <w:rPr>
          <w:rFonts w:hint="default" w:ascii="仿宋_GB2312" w:hAnsi="仿宋_GB2312" w:eastAsia="仿宋_GB2312" w:cs="仿宋_GB2312"/>
          <w:color w:val="auto"/>
          <w:sz w:val="32"/>
          <w:szCs w:val="32"/>
          <w:highlight w:val="none"/>
          <w:lang w:val="en-US" w:eastAsia="zh-CN"/>
        </w:rPr>
        <w:t>持证人</w:t>
      </w:r>
      <w:r>
        <w:rPr>
          <w:rFonts w:hint="eastAsia" w:ascii="仿宋_GB2312" w:hAnsi="仿宋_GB2312" w:eastAsia="仿宋_GB2312" w:cs="仿宋_GB2312"/>
          <w:color w:val="auto"/>
          <w:sz w:val="32"/>
          <w:szCs w:val="32"/>
          <w:highlight w:val="none"/>
          <w:lang w:val="en-US" w:eastAsia="zh-CN"/>
        </w:rPr>
        <w:t>可以在</w:t>
      </w:r>
      <w:r>
        <w:rPr>
          <w:rFonts w:hint="default" w:ascii="仿宋_GB2312" w:hAnsi="仿宋_GB2312" w:eastAsia="仿宋_GB2312" w:cs="仿宋_GB2312"/>
          <w:color w:val="auto"/>
          <w:sz w:val="32"/>
          <w:szCs w:val="32"/>
          <w:highlight w:val="none"/>
          <w:lang w:val="en-US" w:eastAsia="zh-CN"/>
        </w:rPr>
        <w:t>本辖区内申请变更经营地址，其间距按所规定零售点间距标准的</w:t>
      </w:r>
      <w:r>
        <w:rPr>
          <w:rFonts w:hint="eastAsia" w:ascii="仿宋_GB2312" w:hAnsi="仿宋_GB2312" w:eastAsia="仿宋_GB2312" w:cs="仿宋_GB2312"/>
          <w:color w:val="auto"/>
          <w:sz w:val="32"/>
          <w:szCs w:val="32"/>
          <w:highlight w:val="none"/>
          <w:lang w:val="en-US" w:eastAsia="zh-CN"/>
        </w:rPr>
        <w:t>50%</w:t>
      </w:r>
      <w:r>
        <w:rPr>
          <w:rFonts w:hint="default" w:ascii="仿宋_GB2312" w:hAnsi="仿宋_GB2312" w:eastAsia="仿宋_GB2312" w:cs="仿宋_GB2312"/>
          <w:color w:val="auto"/>
          <w:sz w:val="32"/>
          <w:szCs w:val="32"/>
          <w:highlight w:val="none"/>
          <w:lang w:val="en-US" w:eastAsia="zh-CN"/>
        </w:rPr>
        <w:t>执行，且不受所属区域数量限制</w:t>
      </w:r>
      <w:r>
        <w:rPr>
          <w:rFonts w:hint="eastAsia" w:ascii="仿宋_GB2312" w:hAnsi="仿宋_GB2312" w:eastAsia="仿宋_GB2312" w:cs="仿宋_GB2312"/>
          <w:b w:val="0"/>
          <w:bCs w:val="0"/>
          <w:color w:val="auto"/>
          <w:sz w:val="32"/>
          <w:szCs w:val="32"/>
          <w:highlight w:val="none"/>
          <w:shd w:val="clear" w:color="auto" w:fill="auto"/>
          <w:lang w:val="en-US" w:eastAsia="zh-CN"/>
        </w:rPr>
        <w:t>（包括所属网格单元办证名额和所属区域数量）</w:t>
      </w:r>
      <w:r>
        <w:rPr>
          <w:rFonts w:hint="default" w:ascii="仿宋_GB2312" w:hAnsi="仿宋_GB2312" w:eastAsia="仿宋_GB2312" w:cs="仿宋_GB2312"/>
          <w:color w:val="auto"/>
          <w:sz w:val="32"/>
          <w:szCs w:val="32"/>
          <w:highlight w:val="none"/>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240" w:lineRule="auto"/>
        <w:ind w:left="630" w:leftChars="0"/>
        <w:textAlignment w:val="auto"/>
        <w:rPr>
          <w:rFonts w:hint="eastAsia" w:ascii="仿宋_GB2312" w:hAnsi="仿宋_GB2312" w:eastAsia="仿宋_GB2312" w:cs="仿宋_GB2312"/>
          <w:b w:val="0"/>
          <w:bCs w:val="0"/>
          <w:color w:val="auto"/>
          <w:sz w:val="32"/>
          <w:szCs w:val="32"/>
          <w:highlight w:val="none"/>
          <w:shd w:val="clear" w:color="auto" w:fill="auto"/>
          <w:lang w:eastAsia="zh-Hans"/>
        </w:rPr>
      </w:pPr>
      <w:r>
        <w:rPr>
          <w:rFonts w:hint="eastAsia" w:ascii="仿宋_GB2312" w:hAnsi="仿宋_GB2312" w:eastAsia="仿宋_GB2312" w:cs="仿宋_GB2312"/>
          <w:b w:val="0"/>
          <w:bCs w:val="0"/>
          <w:color w:val="auto"/>
          <w:sz w:val="32"/>
          <w:szCs w:val="32"/>
          <w:highlight w:val="none"/>
          <w:shd w:val="clear" w:color="auto" w:fill="auto"/>
          <w:lang w:eastAsia="zh-CN"/>
        </w:rPr>
        <w:t>（六）</w:t>
      </w:r>
      <w:r>
        <w:rPr>
          <w:rFonts w:hint="eastAsia" w:ascii="仿宋_GB2312" w:hAnsi="仿宋_GB2312" w:eastAsia="仿宋_GB2312" w:cs="仿宋_GB2312"/>
          <w:b w:val="0"/>
          <w:bCs w:val="0"/>
          <w:color w:val="auto"/>
          <w:sz w:val="32"/>
          <w:szCs w:val="32"/>
          <w:highlight w:val="none"/>
          <w:shd w:val="clear" w:color="auto" w:fill="auto"/>
        </w:rPr>
        <w:t>国家有政策需扶持的其他情形。</w:t>
      </w:r>
    </w:p>
    <w:p>
      <w:pPr>
        <w:keepNext w:val="0"/>
        <w:keepLines w:val="0"/>
        <w:pageBreakBefore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color w:val="auto"/>
          <w:sz w:val="32"/>
          <w:szCs w:val="32"/>
          <w:highlight w:val="none"/>
          <w:shd w:val="clear" w:color="auto" w:fill="auto"/>
        </w:rPr>
      </w:pPr>
      <w:r>
        <w:rPr>
          <w:rFonts w:hint="eastAsia" w:ascii="黑体" w:hAnsi="黑体" w:eastAsia="黑体" w:cs="黑体"/>
          <w:b w:val="0"/>
          <w:bCs w:val="0"/>
          <w:color w:val="auto"/>
          <w:sz w:val="32"/>
          <w:szCs w:val="32"/>
          <w:highlight w:val="none"/>
          <w:shd w:val="clear" w:color="auto" w:fill="auto"/>
        </w:rPr>
        <w:t>第三章  附  则</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b w:val="0"/>
          <w:bCs w:val="0"/>
          <w:color w:val="auto"/>
          <w:szCs w:val="32"/>
          <w:highlight w:val="none"/>
          <w:shd w:val="clear" w:color="auto" w:fill="auto"/>
          <w:lang w:eastAsia="zh-Hans"/>
        </w:rPr>
      </w:pPr>
      <w:r>
        <w:rPr>
          <w:rFonts w:hint="eastAsia" w:ascii="黑体" w:hAnsi="黑体" w:eastAsia="黑体" w:cs="仿宋_GB2312"/>
          <w:b w:val="0"/>
          <w:bCs w:val="0"/>
          <w:color w:val="auto"/>
          <w:sz w:val="32"/>
          <w:szCs w:val="32"/>
          <w:highlight w:val="none"/>
          <w:shd w:val="clear" w:color="auto" w:fill="auto"/>
        </w:rPr>
        <w:t>第十</w:t>
      </w:r>
      <w:r>
        <w:rPr>
          <w:rFonts w:hint="eastAsia" w:ascii="黑体" w:hAnsi="黑体" w:eastAsia="黑体" w:cs="仿宋_GB2312"/>
          <w:b w:val="0"/>
          <w:bCs w:val="0"/>
          <w:color w:val="auto"/>
          <w:sz w:val="32"/>
          <w:szCs w:val="32"/>
          <w:highlight w:val="none"/>
          <w:shd w:val="clear" w:color="auto" w:fill="auto"/>
          <w:lang w:eastAsia="zh-CN"/>
        </w:rPr>
        <w:t>五</w:t>
      </w:r>
      <w:r>
        <w:rPr>
          <w:rFonts w:hint="eastAsia" w:ascii="黑体" w:hAnsi="黑体" w:eastAsia="黑体" w:cs="仿宋_GB2312"/>
          <w:b w:val="0"/>
          <w:bCs w:val="0"/>
          <w:color w:val="auto"/>
          <w:sz w:val="32"/>
          <w:szCs w:val="32"/>
          <w:highlight w:val="none"/>
          <w:shd w:val="clear" w:color="auto" w:fill="auto"/>
        </w:rPr>
        <w:t xml:space="preserve">条  </w:t>
      </w:r>
      <w:r>
        <w:rPr>
          <w:rFonts w:hint="eastAsia" w:ascii="仿宋_GB2312" w:hAnsi="仿宋_GB2312" w:eastAsia="仿宋_GB2312" w:cs="仿宋_GB2312"/>
          <w:b w:val="0"/>
          <w:bCs w:val="0"/>
          <w:color w:val="auto"/>
          <w:sz w:val="32"/>
          <w:szCs w:val="32"/>
          <w:highlight w:val="none"/>
          <w:shd w:val="clear" w:color="auto" w:fill="auto"/>
          <w:lang w:eastAsia="zh-Hans"/>
        </w:rPr>
        <w:t>本</w:t>
      </w:r>
      <w:r>
        <w:rPr>
          <w:rFonts w:hint="eastAsia" w:ascii="仿宋_GB2312" w:hAnsi="仿宋_GB2312" w:eastAsia="仿宋_GB2312" w:cs="仿宋_GB2312"/>
          <w:b w:val="0"/>
          <w:bCs w:val="0"/>
          <w:color w:val="auto"/>
          <w:sz w:val="32"/>
          <w:szCs w:val="32"/>
          <w:highlight w:val="none"/>
          <w:shd w:val="clear" w:color="auto" w:fill="auto"/>
        </w:rPr>
        <w:t>规定</w:t>
      </w:r>
      <w:r>
        <w:rPr>
          <w:rFonts w:hint="eastAsia" w:ascii="仿宋_GB2312" w:hAnsi="仿宋_GB2312" w:eastAsia="仿宋_GB2312" w:cs="仿宋_GB2312"/>
          <w:b w:val="0"/>
          <w:bCs w:val="0"/>
          <w:color w:val="auto"/>
          <w:sz w:val="32"/>
          <w:szCs w:val="32"/>
          <w:highlight w:val="none"/>
          <w:shd w:val="clear" w:color="auto" w:fill="auto"/>
          <w:lang w:eastAsia="zh-Hans"/>
        </w:rPr>
        <w:t>所称零售点间距是指申请者拟从事烟草制品零售业务的经营场所与最近的烟草制品零售点经营场所</w:t>
      </w:r>
      <w:r>
        <w:rPr>
          <w:rFonts w:hint="eastAsia" w:ascii="仿宋_GB2312" w:hAnsi="仿宋_GB2312" w:eastAsia="仿宋_GB2312" w:cs="仿宋_GB2312"/>
          <w:b w:val="0"/>
          <w:bCs w:val="0"/>
          <w:color w:val="auto"/>
          <w:sz w:val="32"/>
          <w:szCs w:val="32"/>
          <w:highlight w:val="none"/>
          <w:shd w:val="clear" w:color="auto" w:fill="auto"/>
        </w:rPr>
        <w:t>之间两个最近店门中心点间的距离</w:t>
      </w:r>
      <w:r>
        <w:rPr>
          <w:rFonts w:hint="eastAsia" w:ascii="仿宋_GB2312" w:hAnsi="仿宋_GB2312" w:eastAsia="仿宋_GB2312" w:cs="仿宋_GB2312"/>
          <w:b w:val="0"/>
          <w:bCs w:val="0"/>
          <w:color w:val="auto"/>
          <w:sz w:val="32"/>
          <w:szCs w:val="32"/>
          <w:highlight w:val="none"/>
          <w:shd w:val="clear" w:color="auto" w:fill="auto"/>
          <w:lang w:eastAsia="zh-Hans"/>
        </w:rPr>
        <w:t>。零售点间距按照行人不违反交通管理规定的、习惯性行走最短路径进行测量。</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b w:val="0"/>
          <w:bCs w:val="0"/>
          <w:color w:val="auto"/>
          <w:sz w:val="32"/>
          <w:szCs w:val="32"/>
          <w:highlight w:val="none"/>
          <w:shd w:val="clear" w:color="auto" w:fill="auto"/>
          <w:lang w:eastAsia="zh-Hans"/>
        </w:rPr>
      </w:pPr>
      <w:r>
        <w:rPr>
          <w:rFonts w:hint="eastAsia" w:ascii="黑体" w:hAnsi="黑体" w:eastAsia="黑体" w:cs="仿宋_GB2312"/>
          <w:b w:val="0"/>
          <w:bCs w:val="0"/>
          <w:color w:val="auto"/>
          <w:sz w:val="32"/>
          <w:szCs w:val="32"/>
          <w:highlight w:val="none"/>
          <w:shd w:val="clear" w:color="auto" w:fill="auto"/>
        </w:rPr>
        <w:t>第十</w:t>
      </w:r>
      <w:r>
        <w:rPr>
          <w:rFonts w:hint="eastAsia" w:ascii="黑体" w:hAnsi="黑体" w:eastAsia="黑体" w:cs="仿宋_GB2312"/>
          <w:b w:val="0"/>
          <w:bCs w:val="0"/>
          <w:color w:val="auto"/>
          <w:sz w:val="32"/>
          <w:szCs w:val="32"/>
          <w:highlight w:val="none"/>
          <w:shd w:val="clear" w:color="auto" w:fill="auto"/>
          <w:lang w:eastAsia="zh-CN"/>
        </w:rPr>
        <w:t>六</w:t>
      </w:r>
      <w:r>
        <w:rPr>
          <w:rFonts w:hint="eastAsia" w:ascii="黑体" w:hAnsi="黑体" w:eastAsia="黑体" w:cs="仿宋_GB2312"/>
          <w:b w:val="0"/>
          <w:bCs w:val="0"/>
          <w:color w:val="auto"/>
          <w:sz w:val="32"/>
          <w:szCs w:val="32"/>
          <w:highlight w:val="none"/>
          <w:shd w:val="clear" w:color="auto" w:fill="auto"/>
        </w:rPr>
        <w:t>条</w:t>
      </w:r>
      <w:r>
        <w:rPr>
          <w:rFonts w:hint="eastAsia" w:ascii="仿宋_GB2312" w:hAnsi="仿宋_GB2312" w:eastAsia="仿宋_GB2312" w:cs="仿宋_GB2312"/>
          <w:b w:val="0"/>
          <w:bCs w:val="0"/>
          <w:color w:val="auto"/>
          <w:sz w:val="32"/>
          <w:szCs w:val="32"/>
          <w:highlight w:val="none"/>
          <w:shd w:val="clear" w:color="auto" w:fill="auto"/>
          <w:lang w:eastAsia="zh-Hans"/>
        </w:rPr>
        <w:t xml:space="preserve">  </w:t>
      </w:r>
      <w:r>
        <w:rPr>
          <w:rFonts w:hint="eastAsia" w:ascii="仿宋_GB2312" w:hAnsi="仿宋_GB2312" w:eastAsia="仿宋_GB2312" w:cs="仿宋_GB2312"/>
          <w:b w:val="0"/>
          <w:bCs w:val="0"/>
          <w:color w:val="auto"/>
          <w:sz w:val="32"/>
          <w:szCs w:val="32"/>
          <w:highlight w:val="none"/>
          <w:shd w:val="clear" w:color="auto" w:fill="auto"/>
        </w:rPr>
        <w:t>本规定中的</w:t>
      </w:r>
      <w:r>
        <w:rPr>
          <w:rFonts w:hint="eastAsia" w:ascii="仿宋_GB2312" w:hAnsi="仿宋_GB2312" w:eastAsia="仿宋_GB2312" w:cs="仿宋_GB2312"/>
          <w:b w:val="0"/>
          <w:bCs w:val="0"/>
          <w:color w:val="auto"/>
          <w:sz w:val="32"/>
          <w:szCs w:val="32"/>
          <w:highlight w:val="none"/>
          <w:shd w:val="clear" w:color="auto" w:fill="auto"/>
          <w:lang w:eastAsia="zh-Hans"/>
        </w:rPr>
        <w:t>中小学是指各类中小学校包括小学、初中、普通高中、职业职中、中专、技校、特殊教育学校等</w:t>
      </w:r>
      <w:r>
        <w:rPr>
          <w:rFonts w:hint="eastAsia" w:ascii="仿宋_GB2312" w:hAnsi="仿宋_GB2312" w:eastAsia="仿宋_GB2312" w:cs="仿宋_GB2312"/>
          <w:b w:val="0"/>
          <w:bCs w:val="0"/>
          <w:color w:val="auto"/>
          <w:sz w:val="32"/>
          <w:szCs w:val="32"/>
          <w:highlight w:val="none"/>
          <w:shd w:val="clear" w:color="auto" w:fill="auto"/>
        </w:rPr>
        <w:t>；</w:t>
      </w:r>
      <w:r>
        <w:rPr>
          <w:rFonts w:hint="eastAsia" w:ascii="仿宋_GB2312" w:hAnsi="仿宋_GB2312" w:eastAsia="仿宋_GB2312" w:cs="仿宋_GB2312"/>
          <w:b w:val="0"/>
          <w:bCs w:val="0"/>
          <w:color w:val="auto"/>
          <w:sz w:val="32"/>
          <w:szCs w:val="32"/>
          <w:highlight w:val="none"/>
          <w:shd w:val="clear" w:color="auto" w:fill="auto"/>
          <w:lang w:eastAsia="zh-Hans"/>
        </w:rPr>
        <w:t>幼儿园不包括幼儿看护</w:t>
      </w:r>
      <w:r>
        <w:rPr>
          <w:rFonts w:hint="eastAsia" w:ascii="仿宋_GB2312" w:hAnsi="仿宋_GB2312" w:eastAsia="仿宋_GB2312" w:cs="仿宋_GB2312"/>
          <w:b w:val="0"/>
          <w:bCs w:val="0"/>
          <w:color w:val="auto"/>
          <w:sz w:val="32"/>
          <w:szCs w:val="32"/>
          <w:highlight w:val="none"/>
          <w:shd w:val="clear" w:color="auto" w:fill="auto"/>
          <w:lang w:eastAsia="zh-CN"/>
        </w:rPr>
        <w:t>点</w:t>
      </w:r>
      <w:r>
        <w:rPr>
          <w:rFonts w:hint="eastAsia" w:ascii="仿宋_GB2312" w:hAnsi="仿宋_GB2312" w:eastAsia="仿宋_GB2312" w:cs="仿宋_GB2312"/>
          <w:b w:val="0"/>
          <w:bCs w:val="0"/>
          <w:color w:val="auto"/>
          <w:sz w:val="32"/>
          <w:szCs w:val="32"/>
          <w:highlight w:val="none"/>
          <w:shd w:val="clear" w:color="auto" w:fill="auto"/>
          <w:lang w:eastAsia="zh-Hans"/>
        </w:rPr>
        <w:t>、早教、幼儿托管机构等。</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val="en-US" w:eastAsia="zh-CN"/>
        </w:rPr>
      </w:pPr>
      <w:r>
        <w:rPr>
          <w:rFonts w:hint="eastAsia" w:ascii="黑体" w:hAnsi="黑体" w:eastAsia="黑体" w:cs="仿宋_GB2312"/>
          <w:b w:val="0"/>
          <w:bCs w:val="0"/>
          <w:color w:val="auto"/>
          <w:sz w:val="32"/>
          <w:szCs w:val="32"/>
          <w:highlight w:val="none"/>
          <w:shd w:val="clear" w:color="auto" w:fill="auto"/>
        </w:rPr>
        <w:t>第十</w:t>
      </w:r>
      <w:r>
        <w:rPr>
          <w:rFonts w:hint="eastAsia" w:ascii="黑体" w:hAnsi="黑体" w:eastAsia="黑体" w:cs="仿宋_GB2312"/>
          <w:b w:val="0"/>
          <w:bCs w:val="0"/>
          <w:color w:val="auto"/>
          <w:sz w:val="32"/>
          <w:szCs w:val="32"/>
          <w:highlight w:val="none"/>
          <w:shd w:val="clear" w:color="auto" w:fill="auto"/>
          <w:lang w:eastAsia="zh-CN"/>
        </w:rPr>
        <w:t>七</w:t>
      </w:r>
      <w:r>
        <w:rPr>
          <w:rFonts w:hint="eastAsia" w:ascii="黑体" w:hAnsi="黑体" w:eastAsia="黑体" w:cs="仿宋_GB2312"/>
          <w:b w:val="0"/>
          <w:bCs w:val="0"/>
          <w:color w:val="auto"/>
          <w:sz w:val="32"/>
          <w:szCs w:val="32"/>
          <w:highlight w:val="none"/>
          <w:shd w:val="clear" w:color="auto" w:fill="auto"/>
        </w:rPr>
        <w:t xml:space="preserve">条  </w:t>
      </w:r>
      <w:r>
        <w:rPr>
          <w:rFonts w:hint="eastAsia" w:ascii="仿宋_GB2312" w:hAnsi="仿宋_GB2312" w:eastAsia="仿宋_GB2312" w:cs="仿宋_GB2312"/>
          <w:b w:val="0"/>
          <w:bCs w:val="0"/>
          <w:color w:val="auto"/>
          <w:sz w:val="32"/>
          <w:szCs w:val="32"/>
          <w:highlight w:val="none"/>
          <w:shd w:val="clear" w:color="auto" w:fill="auto"/>
        </w:rPr>
        <w:t>本规定所称中小学、幼儿园出入口是指可与学校或幼儿园连通的通道</w:t>
      </w:r>
      <w:r>
        <w:rPr>
          <w:rFonts w:hint="eastAsia" w:ascii="仿宋_GB2312" w:hAnsi="仿宋_GB2312" w:eastAsia="仿宋_GB2312" w:cs="仿宋_GB2312"/>
          <w:b w:val="0"/>
          <w:bCs w:val="0"/>
          <w:color w:val="auto"/>
          <w:sz w:val="32"/>
          <w:szCs w:val="32"/>
          <w:highlight w:val="none"/>
          <w:shd w:val="clear" w:color="auto" w:fill="auto"/>
          <w:lang w:eastAsia="zh-CN"/>
        </w:rPr>
        <w:t>，</w:t>
      </w:r>
      <w:r>
        <w:rPr>
          <w:rFonts w:hint="eastAsia" w:ascii="仿宋_GB2312" w:hAnsi="仿宋_GB2312" w:eastAsia="仿宋_GB2312" w:cs="仿宋_GB2312"/>
          <w:b w:val="0"/>
          <w:bCs w:val="0"/>
          <w:color w:val="auto"/>
          <w:sz w:val="32"/>
          <w:szCs w:val="32"/>
          <w:highlight w:val="none"/>
          <w:shd w:val="clear" w:color="auto" w:fill="auto"/>
          <w:lang w:val="en-US" w:eastAsia="zh-CN"/>
        </w:rPr>
        <w:t>不包含消防通道等日常不使用的通道</w:t>
      </w:r>
      <w:r>
        <w:rPr>
          <w:rFonts w:hint="eastAsia" w:ascii="仿宋_GB2312" w:hAnsi="仿宋_GB2312" w:eastAsia="仿宋_GB2312" w:cs="仿宋_GB2312"/>
          <w:b w:val="0"/>
          <w:bCs w:val="0"/>
          <w:color w:val="auto"/>
          <w:sz w:val="32"/>
          <w:szCs w:val="32"/>
          <w:highlight w:val="none"/>
          <w:shd w:val="clear" w:color="auto" w:fill="auto"/>
          <w:lang w:eastAsia="zh-Hans"/>
        </w:rPr>
        <w:t>。</w:t>
      </w:r>
      <w:r>
        <w:rPr>
          <w:rFonts w:hint="eastAsia" w:ascii="仿宋_GB2312" w:hAnsi="仿宋_GB2312" w:eastAsia="仿宋_GB2312" w:cs="仿宋_GB2312"/>
          <w:b w:val="0"/>
          <w:bCs w:val="0"/>
          <w:color w:val="auto"/>
          <w:sz w:val="32"/>
          <w:szCs w:val="32"/>
          <w:highlight w:val="none"/>
          <w:shd w:val="clear" w:color="auto" w:fill="auto"/>
        </w:rPr>
        <w:t>实地测量时由校门、园门中心位置到拟从事烟草制品零售业务的经营场所的最近店门的中心位置，在不违反交通管理规定的情况下，可通行的习惯性行走最短距离。</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rPr>
      </w:pPr>
      <w:r>
        <w:rPr>
          <w:rFonts w:hint="eastAsia" w:ascii="黑体" w:hAnsi="黑体" w:eastAsia="黑体" w:cs="仿宋_GB2312"/>
          <w:b w:val="0"/>
          <w:bCs w:val="0"/>
          <w:color w:val="auto"/>
          <w:sz w:val="32"/>
          <w:szCs w:val="32"/>
          <w:highlight w:val="none"/>
          <w:shd w:val="clear" w:color="auto" w:fill="auto"/>
        </w:rPr>
        <w:t>第</w:t>
      </w:r>
      <w:r>
        <w:rPr>
          <w:rFonts w:hint="eastAsia" w:ascii="黑体" w:hAnsi="黑体" w:eastAsia="黑体" w:cs="仿宋_GB2312"/>
          <w:b w:val="0"/>
          <w:bCs w:val="0"/>
          <w:color w:val="auto"/>
          <w:sz w:val="32"/>
          <w:szCs w:val="32"/>
          <w:highlight w:val="none"/>
          <w:shd w:val="clear" w:color="auto" w:fill="auto"/>
          <w:lang w:eastAsia="zh-CN"/>
        </w:rPr>
        <w:t>十八</w:t>
      </w:r>
      <w:r>
        <w:rPr>
          <w:rFonts w:hint="eastAsia" w:ascii="黑体" w:hAnsi="黑体" w:eastAsia="黑体" w:cs="仿宋_GB2312"/>
          <w:b w:val="0"/>
          <w:bCs w:val="0"/>
          <w:color w:val="auto"/>
          <w:sz w:val="32"/>
          <w:szCs w:val="32"/>
          <w:highlight w:val="none"/>
          <w:shd w:val="clear" w:color="auto" w:fill="auto"/>
        </w:rPr>
        <w:t>条</w:t>
      </w:r>
      <w:r>
        <w:rPr>
          <w:rFonts w:hint="eastAsia" w:ascii="仿宋_GB2312" w:hAnsi="仿宋_GB2312" w:eastAsia="仿宋_GB2312" w:cs="仿宋_GB2312"/>
          <w:b w:val="0"/>
          <w:bCs w:val="0"/>
          <w:color w:val="auto"/>
          <w:sz w:val="32"/>
          <w:szCs w:val="32"/>
          <w:highlight w:val="none"/>
          <w:shd w:val="clear" w:color="auto" w:fill="auto"/>
          <w:lang w:eastAsia="zh-Hans"/>
        </w:rPr>
        <w:t xml:space="preserve">  </w:t>
      </w:r>
      <w:r>
        <w:rPr>
          <w:rFonts w:hint="eastAsia" w:ascii="仿宋_GB2312" w:hAnsi="仿宋_GB2312" w:eastAsia="仿宋_GB2312" w:cs="仿宋_GB2312"/>
          <w:b w:val="0"/>
          <w:bCs w:val="0"/>
          <w:color w:val="auto"/>
          <w:sz w:val="32"/>
          <w:szCs w:val="32"/>
          <w:highlight w:val="none"/>
          <w:shd w:val="clear" w:color="auto" w:fill="auto"/>
        </w:rPr>
        <w:t>本规定所涉及商场、超市、娱乐场所等业态，其分类标准按照《零售业态分类》国家标准（GB/T18106-2021）及《中国卷烟销售公司关于进一步加强烟草零售客户基础信息管理工作的通知》（中烟销网〔2022〕26号）的要求划分。</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eastAsia="zh-CN"/>
        </w:rPr>
      </w:pPr>
      <w:r>
        <w:rPr>
          <w:rFonts w:hint="eastAsia" w:ascii="黑体" w:hAnsi="黑体" w:eastAsia="黑体" w:cs="仿宋_GB2312"/>
          <w:b w:val="0"/>
          <w:bCs w:val="0"/>
          <w:color w:val="auto"/>
          <w:sz w:val="32"/>
          <w:szCs w:val="32"/>
          <w:highlight w:val="none"/>
          <w:shd w:val="clear" w:color="auto" w:fill="auto"/>
        </w:rPr>
        <w:t>第</w:t>
      </w:r>
      <w:r>
        <w:rPr>
          <w:rFonts w:hint="eastAsia" w:ascii="黑体" w:hAnsi="黑体" w:eastAsia="黑体" w:cs="仿宋_GB2312"/>
          <w:b w:val="0"/>
          <w:bCs w:val="0"/>
          <w:color w:val="auto"/>
          <w:sz w:val="32"/>
          <w:szCs w:val="32"/>
          <w:highlight w:val="none"/>
          <w:shd w:val="clear" w:color="auto" w:fill="auto"/>
          <w:lang w:eastAsia="zh-CN"/>
        </w:rPr>
        <w:t>十九</w:t>
      </w:r>
      <w:r>
        <w:rPr>
          <w:rFonts w:hint="eastAsia" w:ascii="黑体" w:hAnsi="黑体" w:eastAsia="黑体" w:cs="仿宋_GB2312"/>
          <w:b w:val="0"/>
          <w:bCs w:val="0"/>
          <w:color w:val="auto"/>
          <w:sz w:val="32"/>
          <w:szCs w:val="32"/>
          <w:highlight w:val="none"/>
          <w:shd w:val="clear" w:color="auto" w:fill="auto"/>
        </w:rPr>
        <w:t>条</w:t>
      </w:r>
      <w:r>
        <w:rPr>
          <w:rFonts w:hint="eastAsia" w:ascii="仿宋_GB2312" w:hAnsi="仿宋_GB2312" w:eastAsia="仿宋_GB2312" w:cs="仿宋_GB2312"/>
          <w:b w:val="0"/>
          <w:bCs w:val="0"/>
          <w:color w:val="auto"/>
          <w:sz w:val="32"/>
          <w:szCs w:val="32"/>
          <w:highlight w:val="none"/>
          <w:shd w:val="clear" w:color="auto" w:fill="auto"/>
          <w:lang w:eastAsia="zh-Hans"/>
        </w:rPr>
        <w:t xml:space="preserve">  </w:t>
      </w:r>
      <w:r>
        <w:rPr>
          <w:rFonts w:hint="eastAsia" w:ascii="仿宋_GB2312" w:hAnsi="仿宋_GB2312" w:eastAsia="仿宋_GB2312" w:cs="仿宋_GB2312"/>
          <w:b w:val="0"/>
          <w:bCs w:val="0"/>
          <w:color w:val="auto"/>
          <w:sz w:val="32"/>
          <w:szCs w:val="32"/>
          <w:highlight w:val="none"/>
          <w:shd w:val="clear" w:color="auto" w:fill="auto"/>
          <w:lang w:val="en-US" w:eastAsia="zh-Hans"/>
        </w:rPr>
        <w:t>人口数量及户籍人口数以派出所或统计单位提供的数据为准</w:t>
      </w:r>
      <w:r>
        <w:rPr>
          <w:rFonts w:hint="eastAsia" w:ascii="仿宋_GB2312" w:hAnsi="仿宋_GB2312" w:eastAsia="仿宋_GB2312" w:cs="仿宋_GB2312"/>
          <w:b w:val="0"/>
          <w:bCs w:val="0"/>
          <w:color w:val="auto"/>
          <w:sz w:val="32"/>
          <w:szCs w:val="32"/>
          <w:highlight w:val="none"/>
          <w:shd w:val="clear" w:color="auto" w:fill="auto"/>
          <w:lang w:val="en-US" w:eastAsia="zh-CN"/>
        </w:rPr>
        <w:t>。</w:t>
      </w:r>
      <w:r>
        <w:rPr>
          <w:rFonts w:hint="eastAsia" w:ascii="仿宋_GB2312" w:hAnsi="仿宋_GB2312" w:eastAsia="仿宋_GB2312" w:cs="仿宋_GB2312"/>
          <w:b w:val="0"/>
          <w:bCs w:val="0"/>
          <w:color w:val="auto"/>
          <w:sz w:val="32"/>
          <w:szCs w:val="32"/>
          <w:highlight w:val="none"/>
          <w:shd w:val="clear" w:color="auto" w:fill="auto"/>
          <w:lang w:val="en-US" w:eastAsia="zh-Hans"/>
        </w:rPr>
        <w:t>居民小区</w:t>
      </w:r>
      <w:r>
        <w:rPr>
          <w:rFonts w:hint="eastAsia" w:ascii="仿宋_GB2312" w:hAnsi="仿宋_GB2312" w:eastAsia="仿宋_GB2312" w:cs="仿宋_GB2312"/>
          <w:b w:val="0"/>
          <w:bCs w:val="0"/>
          <w:color w:val="auto"/>
          <w:sz w:val="32"/>
          <w:szCs w:val="32"/>
          <w:highlight w:val="none"/>
          <w:shd w:val="clear" w:color="auto" w:fill="auto"/>
          <w:lang w:val="en-US" w:eastAsia="zh-CN"/>
        </w:rPr>
        <w:t>户数以本小区物业管理部门或居委会</w:t>
      </w:r>
      <w:r>
        <w:rPr>
          <w:rFonts w:hint="eastAsia" w:ascii="仿宋_GB2312" w:hAnsi="仿宋_GB2312" w:eastAsia="仿宋_GB2312" w:cs="仿宋_GB2312"/>
          <w:b w:val="0"/>
          <w:bCs w:val="0"/>
          <w:color w:val="auto"/>
          <w:sz w:val="32"/>
          <w:szCs w:val="32"/>
          <w:highlight w:val="none"/>
          <w:shd w:val="clear" w:color="auto" w:fill="auto"/>
          <w:lang w:val="en-US" w:eastAsia="zh-Hans"/>
        </w:rPr>
        <w:t>提供的数据为准</w:t>
      </w:r>
      <w:r>
        <w:rPr>
          <w:rFonts w:hint="eastAsia" w:ascii="仿宋_GB2312" w:hAnsi="仿宋_GB2312" w:eastAsia="仿宋_GB2312" w:cs="仿宋_GB2312"/>
          <w:b w:val="0"/>
          <w:bCs w:val="0"/>
          <w:color w:val="auto"/>
          <w:sz w:val="32"/>
          <w:szCs w:val="32"/>
          <w:highlight w:val="none"/>
          <w:shd w:val="clear" w:color="auto" w:fill="auto"/>
          <w:lang w:val="en-US"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b w:val="0"/>
          <w:bCs w:val="0"/>
          <w:color w:val="auto"/>
          <w:sz w:val="32"/>
          <w:szCs w:val="32"/>
          <w:highlight w:val="none"/>
          <w:shd w:val="clear" w:color="auto" w:fill="auto"/>
          <w:lang w:eastAsia="zh-Hans"/>
        </w:rPr>
      </w:pPr>
      <w:r>
        <w:rPr>
          <w:rFonts w:hint="eastAsia" w:ascii="黑体" w:hAnsi="黑体" w:eastAsia="黑体" w:cs="仿宋_GB2312"/>
          <w:b w:val="0"/>
          <w:bCs w:val="0"/>
          <w:color w:val="auto"/>
          <w:sz w:val="32"/>
          <w:szCs w:val="32"/>
          <w:highlight w:val="none"/>
          <w:shd w:val="clear" w:color="auto" w:fill="auto"/>
        </w:rPr>
        <w:t>第二十条</w:t>
      </w:r>
      <w:r>
        <w:rPr>
          <w:rFonts w:hint="eastAsia" w:ascii="仿宋_GB2312" w:hAnsi="仿宋_GB2312" w:eastAsia="仿宋_GB2312" w:cs="仿宋_GB2312"/>
          <w:b w:val="0"/>
          <w:bCs w:val="0"/>
          <w:color w:val="auto"/>
          <w:sz w:val="32"/>
          <w:szCs w:val="32"/>
          <w:highlight w:val="none"/>
          <w:shd w:val="clear" w:color="auto" w:fill="auto"/>
          <w:lang w:eastAsia="zh-Hans"/>
        </w:rPr>
        <w:t xml:space="preserve">  本</w:t>
      </w:r>
      <w:r>
        <w:rPr>
          <w:rFonts w:hint="eastAsia" w:ascii="仿宋_GB2312" w:hAnsi="仿宋_GB2312" w:eastAsia="仿宋_GB2312" w:cs="仿宋_GB2312"/>
          <w:b w:val="0"/>
          <w:bCs w:val="0"/>
          <w:color w:val="auto"/>
          <w:sz w:val="32"/>
          <w:szCs w:val="32"/>
          <w:highlight w:val="none"/>
          <w:shd w:val="clear" w:color="auto" w:fill="auto"/>
        </w:rPr>
        <w:t>规定</w:t>
      </w:r>
      <w:r>
        <w:rPr>
          <w:rFonts w:hint="eastAsia" w:ascii="仿宋_GB2312" w:hAnsi="仿宋_GB2312" w:eastAsia="仿宋_GB2312" w:cs="仿宋_GB2312"/>
          <w:b w:val="0"/>
          <w:bCs w:val="0"/>
          <w:color w:val="auto"/>
          <w:sz w:val="32"/>
          <w:szCs w:val="32"/>
          <w:highlight w:val="none"/>
          <w:shd w:val="clear" w:color="auto" w:fill="auto"/>
          <w:lang w:eastAsia="zh-Hans"/>
        </w:rPr>
        <w:t>所称“以上”、“不超过”、“不少于”、“不得少于”包含本数。</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b w:val="0"/>
          <w:bCs w:val="0"/>
          <w:color w:val="auto"/>
          <w:sz w:val="32"/>
          <w:szCs w:val="32"/>
          <w:highlight w:val="none"/>
          <w:shd w:val="clear" w:color="auto" w:fill="auto"/>
          <w:lang w:eastAsia="zh-Hans"/>
        </w:rPr>
      </w:pPr>
      <w:r>
        <w:rPr>
          <w:rFonts w:hint="eastAsia" w:ascii="黑体" w:hAnsi="黑体" w:eastAsia="黑体" w:cs="仿宋_GB2312"/>
          <w:b w:val="0"/>
          <w:bCs w:val="0"/>
          <w:color w:val="auto"/>
          <w:sz w:val="32"/>
          <w:szCs w:val="32"/>
          <w:highlight w:val="none"/>
          <w:shd w:val="clear" w:color="auto" w:fill="auto"/>
        </w:rPr>
        <w:t>第二十</w:t>
      </w:r>
      <w:r>
        <w:rPr>
          <w:rFonts w:hint="eastAsia" w:ascii="黑体" w:hAnsi="黑体" w:eastAsia="黑体" w:cs="仿宋_GB2312"/>
          <w:b w:val="0"/>
          <w:bCs w:val="0"/>
          <w:color w:val="auto"/>
          <w:sz w:val="32"/>
          <w:szCs w:val="32"/>
          <w:highlight w:val="none"/>
          <w:shd w:val="clear" w:color="auto" w:fill="auto"/>
          <w:lang w:eastAsia="zh-CN"/>
        </w:rPr>
        <w:t>一</w:t>
      </w:r>
      <w:r>
        <w:rPr>
          <w:rFonts w:hint="eastAsia" w:ascii="黑体" w:hAnsi="黑体" w:eastAsia="黑体" w:cs="仿宋_GB2312"/>
          <w:b w:val="0"/>
          <w:bCs w:val="0"/>
          <w:color w:val="auto"/>
          <w:sz w:val="32"/>
          <w:szCs w:val="32"/>
          <w:highlight w:val="none"/>
          <w:shd w:val="clear" w:color="auto" w:fill="auto"/>
        </w:rPr>
        <w:t>条</w:t>
      </w:r>
      <w:r>
        <w:rPr>
          <w:rFonts w:hint="eastAsia" w:ascii="仿宋_GB2312" w:hAnsi="仿宋_GB2312" w:eastAsia="仿宋_GB2312" w:cs="仿宋_GB2312"/>
          <w:b w:val="0"/>
          <w:bCs w:val="0"/>
          <w:color w:val="auto"/>
          <w:sz w:val="32"/>
          <w:szCs w:val="32"/>
          <w:highlight w:val="none"/>
          <w:shd w:val="clear" w:color="auto" w:fill="auto"/>
          <w:lang w:eastAsia="zh-Hans"/>
        </w:rPr>
        <w:t xml:space="preserve">  本</w:t>
      </w:r>
      <w:r>
        <w:rPr>
          <w:rFonts w:hint="eastAsia" w:ascii="仿宋_GB2312" w:hAnsi="仿宋_GB2312" w:eastAsia="仿宋_GB2312" w:cs="仿宋_GB2312"/>
          <w:b w:val="0"/>
          <w:bCs w:val="0"/>
          <w:color w:val="auto"/>
          <w:sz w:val="32"/>
          <w:szCs w:val="32"/>
          <w:highlight w:val="none"/>
          <w:shd w:val="clear" w:color="auto" w:fill="auto"/>
        </w:rPr>
        <w:t>规定</w:t>
      </w:r>
      <w:r>
        <w:rPr>
          <w:rFonts w:hint="eastAsia" w:ascii="仿宋_GB2312" w:hAnsi="仿宋_GB2312" w:eastAsia="仿宋_GB2312" w:cs="仿宋_GB2312"/>
          <w:b w:val="0"/>
          <w:bCs w:val="0"/>
          <w:color w:val="auto"/>
          <w:sz w:val="32"/>
          <w:szCs w:val="32"/>
          <w:highlight w:val="none"/>
          <w:shd w:val="clear" w:color="auto" w:fill="auto"/>
          <w:lang w:eastAsia="zh-Hans"/>
        </w:rPr>
        <w:t>所称新建封闭式住宅小区应有门岗和院墙，且未在小区内居住的人员不能随意进入。新建开放式住宅小区应按间距标准设置零售点。</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rPr>
      </w:pPr>
      <w:r>
        <w:rPr>
          <w:rFonts w:hint="eastAsia" w:ascii="黑体" w:hAnsi="黑体" w:eastAsia="黑体" w:cs="仿宋_GB2312"/>
          <w:b w:val="0"/>
          <w:bCs w:val="0"/>
          <w:color w:val="auto"/>
          <w:sz w:val="32"/>
          <w:szCs w:val="32"/>
          <w:highlight w:val="none"/>
          <w:shd w:val="clear" w:color="auto" w:fill="auto"/>
        </w:rPr>
        <w:t>第二十</w:t>
      </w:r>
      <w:r>
        <w:rPr>
          <w:rFonts w:hint="eastAsia" w:ascii="黑体" w:hAnsi="黑体" w:eastAsia="黑体" w:cs="仿宋_GB2312"/>
          <w:b w:val="0"/>
          <w:bCs w:val="0"/>
          <w:color w:val="auto"/>
          <w:sz w:val="32"/>
          <w:szCs w:val="32"/>
          <w:highlight w:val="none"/>
          <w:shd w:val="clear" w:color="auto" w:fill="auto"/>
          <w:lang w:eastAsia="zh-CN"/>
        </w:rPr>
        <w:t>二</w:t>
      </w:r>
      <w:r>
        <w:rPr>
          <w:rFonts w:hint="eastAsia" w:ascii="黑体" w:hAnsi="黑体" w:eastAsia="黑体" w:cs="仿宋_GB2312"/>
          <w:b w:val="0"/>
          <w:bCs w:val="0"/>
          <w:color w:val="auto"/>
          <w:sz w:val="32"/>
          <w:szCs w:val="32"/>
          <w:highlight w:val="none"/>
          <w:shd w:val="clear" w:color="auto" w:fill="auto"/>
        </w:rPr>
        <w:t>条</w:t>
      </w:r>
      <w:r>
        <w:rPr>
          <w:rFonts w:ascii="仿宋_GB2312" w:hAnsi="仿宋_GB2312" w:eastAsia="仿宋_GB2312" w:cs="仿宋_GB2312"/>
          <w:b w:val="0"/>
          <w:bCs w:val="0"/>
          <w:color w:val="auto"/>
          <w:sz w:val="32"/>
          <w:szCs w:val="32"/>
          <w:highlight w:val="none"/>
          <w:shd w:val="clear" w:color="auto" w:fill="auto"/>
          <w:lang w:eastAsia="zh-Hans"/>
        </w:rPr>
        <w:t xml:space="preserve">  </w:t>
      </w:r>
      <w:r>
        <w:rPr>
          <w:rFonts w:hint="eastAsia" w:ascii="仿宋_GB2312" w:hAnsi="仿宋_GB2312" w:eastAsia="仿宋_GB2312" w:cs="仿宋_GB2312"/>
          <w:b w:val="0"/>
          <w:bCs w:val="0"/>
          <w:color w:val="auto"/>
          <w:sz w:val="32"/>
          <w:szCs w:val="32"/>
          <w:highlight w:val="none"/>
          <w:shd w:val="clear" w:color="auto" w:fill="auto"/>
        </w:rPr>
        <w:t>本规定中的残疾人是指持合法有效残疾证且具有完全民事行为能力的残疾人、残疾军人等</w:t>
      </w:r>
      <w:r>
        <w:rPr>
          <w:rFonts w:hint="eastAsia" w:ascii="仿宋_GB2312" w:hAnsi="仿宋_GB2312" w:eastAsia="仿宋_GB2312" w:cs="仿宋_GB2312"/>
          <w:b w:val="0"/>
          <w:bCs w:val="0"/>
          <w:color w:val="auto"/>
          <w:sz w:val="32"/>
          <w:szCs w:val="32"/>
          <w:highlight w:val="none"/>
          <w:shd w:val="clear" w:color="auto" w:fill="auto"/>
          <w:lang w:eastAsia="zh-CN"/>
        </w:rPr>
        <w:t>，</w:t>
      </w:r>
      <w:r>
        <w:rPr>
          <w:rFonts w:hint="eastAsia" w:ascii="仿宋_GB2312" w:hAnsi="仿宋_GB2312" w:eastAsia="仿宋_GB2312" w:cs="仿宋_GB2312"/>
          <w:b w:val="0"/>
          <w:bCs w:val="0"/>
          <w:color w:val="auto"/>
          <w:sz w:val="32"/>
          <w:szCs w:val="32"/>
          <w:highlight w:val="none"/>
          <w:shd w:val="clear" w:color="auto" w:fill="auto"/>
        </w:rPr>
        <w:t>烈属</w:t>
      </w:r>
      <w:r>
        <w:rPr>
          <w:rFonts w:hint="eastAsia" w:ascii="仿宋_GB2312" w:hAnsi="仿宋_GB2312" w:eastAsia="仿宋_GB2312" w:cs="仿宋_GB2312"/>
          <w:b w:val="0"/>
          <w:bCs w:val="0"/>
          <w:color w:val="auto"/>
          <w:sz w:val="32"/>
          <w:szCs w:val="32"/>
          <w:highlight w:val="none"/>
          <w:shd w:val="clear" w:color="auto" w:fill="auto"/>
          <w:lang w:eastAsia="zh-CN"/>
        </w:rPr>
        <w:t>是指</w:t>
      </w:r>
      <w:r>
        <w:rPr>
          <w:rFonts w:hint="eastAsia" w:ascii="仿宋_GB2312" w:hAnsi="仿宋_GB2312" w:eastAsia="仿宋_GB2312" w:cs="仿宋_GB2312"/>
          <w:b w:val="0"/>
          <w:bCs w:val="0"/>
          <w:color w:val="auto"/>
          <w:sz w:val="32"/>
          <w:szCs w:val="32"/>
          <w:highlight w:val="none"/>
          <w:shd w:val="clear" w:color="auto" w:fill="auto"/>
        </w:rPr>
        <w:t>有军队、政府及其机关部门颁发开具的合法有效的优抚对象，如烈士遗属、因公牺牲军人遗属等。</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eastAsia="zh-Hans"/>
        </w:rPr>
      </w:pPr>
      <w:r>
        <w:rPr>
          <w:rFonts w:hint="eastAsia" w:ascii="黑体" w:hAnsi="黑体" w:eastAsia="黑体" w:cs="仿宋_GB2312"/>
          <w:b w:val="0"/>
          <w:bCs w:val="0"/>
          <w:color w:val="auto"/>
          <w:sz w:val="32"/>
          <w:szCs w:val="32"/>
          <w:highlight w:val="none"/>
          <w:shd w:val="clear" w:color="auto" w:fill="auto"/>
        </w:rPr>
        <w:t>第二十</w:t>
      </w:r>
      <w:r>
        <w:rPr>
          <w:rFonts w:hint="eastAsia" w:ascii="黑体" w:hAnsi="黑体" w:eastAsia="黑体" w:cs="仿宋_GB2312"/>
          <w:b w:val="0"/>
          <w:bCs w:val="0"/>
          <w:color w:val="auto"/>
          <w:sz w:val="32"/>
          <w:szCs w:val="32"/>
          <w:highlight w:val="none"/>
          <w:shd w:val="clear" w:color="auto" w:fill="auto"/>
          <w:lang w:eastAsia="zh-CN"/>
        </w:rPr>
        <w:t>三</w:t>
      </w:r>
      <w:r>
        <w:rPr>
          <w:rFonts w:hint="eastAsia" w:ascii="黑体" w:hAnsi="黑体" w:eastAsia="黑体" w:cs="仿宋_GB2312"/>
          <w:b w:val="0"/>
          <w:bCs w:val="0"/>
          <w:color w:val="auto"/>
          <w:sz w:val="32"/>
          <w:szCs w:val="32"/>
          <w:highlight w:val="none"/>
          <w:shd w:val="clear" w:color="auto" w:fill="auto"/>
        </w:rPr>
        <w:t>条</w:t>
      </w:r>
      <w:r>
        <w:rPr>
          <w:rFonts w:hint="eastAsia" w:ascii="仿宋_GB2312" w:hAnsi="仿宋_GB2312" w:eastAsia="仿宋_GB2312" w:cs="仿宋_GB2312"/>
          <w:b w:val="0"/>
          <w:bCs w:val="0"/>
          <w:color w:val="auto"/>
          <w:sz w:val="32"/>
          <w:szCs w:val="32"/>
          <w:highlight w:val="none"/>
          <w:shd w:val="clear" w:color="auto" w:fill="auto"/>
          <w:lang w:eastAsia="zh-Hans"/>
        </w:rPr>
        <w:t xml:space="preserve">  </w:t>
      </w:r>
      <w:r>
        <w:rPr>
          <w:rFonts w:hint="eastAsia" w:ascii="仿宋" w:hAnsi="仿宋" w:eastAsia="仿宋" w:cs="仿宋"/>
          <w:b w:val="0"/>
          <w:bCs w:val="0"/>
          <w:color w:val="auto"/>
          <w:sz w:val="32"/>
          <w:szCs w:val="32"/>
          <w:highlight w:val="none"/>
          <w:shd w:val="clear" w:color="auto" w:fill="auto"/>
        </w:rPr>
        <w:t>本规定所称“与住所相独立”是指经营场所与</w:t>
      </w:r>
      <w:r>
        <w:rPr>
          <w:rFonts w:hint="eastAsia" w:ascii="仿宋" w:hAnsi="仿宋" w:eastAsia="仿宋" w:cs="仿宋"/>
          <w:b w:val="0"/>
          <w:bCs w:val="0"/>
          <w:color w:val="auto"/>
          <w:sz w:val="32"/>
          <w:szCs w:val="32"/>
          <w:highlight w:val="none"/>
          <w:shd w:val="clear" w:color="auto" w:fill="auto"/>
          <w:lang w:eastAsia="zh-CN"/>
        </w:rPr>
        <w:t>居住场所、其他经营场所从空间上相分离，两者在空间上相互断开，不能互相通行，不得混同或相连（包括住所的客厅、餐厅、卧室、阳台、楼梯、窗口等区域）</w:t>
      </w:r>
      <w:r>
        <w:rPr>
          <w:rFonts w:hint="eastAsia" w:ascii="仿宋" w:hAnsi="仿宋" w:eastAsia="仿宋" w:cs="仿宋"/>
          <w:b w:val="0"/>
          <w:bCs w:val="0"/>
          <w:color w:val="auto"/>
          <w:sz w:val="32"/>
          <w:szCs w:val="32"/>
          <w:highlight w:val="none"/>
          <w:shd w:val="clear" w:color="auto" w:fill="auto"/>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eastAsia="zh-CN"/>
        </w:rPr>
      </w:pPr>
      <w:r>
        <w:rPr>
          <w:rFonts w:hint="eastAsia" w:ascii="黑体" w:hAnsi="黑体" w:eastAsia="黑体" w:cs="仿宋_GB2312"/>
          <w:b w:val="0"/>
          <w:bCs w:val="0"/>
          <w:color w:val="auto"/>
          <w:sz w:val="32"/>
          <w:szCs w:val="32"/>
          <w:highlight w:val="none"/>
          <w:shd w:val="clear" w:color="auto" w:fill="auto"/>
          <w:lang w:eastAsia="zh-Hans"/>
        </w:rPr>
        <w:t>第二十</w:t>
      </w:r>
      <w:r>
        <w:rPr>
          <w:rFonts w:hint="eastAsia" w:ascii="黑体" w:hAnsi="黑体" w:eastAsia="黑体" w:cs="仿宋_GB2312"/>
          <w:b w:val="0"/>
          <w:bCs w:val="0"/>
          <w:color w:val="auto"/>
          <w:sz w:val="32"/>
          <w:szCs w:val="32"/>
          <w:highlight w:val="none"/>
          <w:shd w:val="clear" w:color="auto" w:fill="auto"/>
          <w:lang w:eastAsia="zh-CN"/>
        </w:rPr>
        <w:t>四</w:t>
      </w:r>
      <w:r>
        <w:rPr>
          <w:rFonts w:hint="eastAsia" w:ascii="黑体" w:hAnsi="黑体" w:eastAsia="黑体" w:cs="仿宋_GB2312"/>
          <w:b w:val="0"/>
          <w:bCs w:val="0"/>
          <w:color w:val="auto"/>
          <w:sz w:val="32"/>
          <w:szCs w:val="32"/>
          <w:highlight w:val="none"/>
          <w:shd w:val="clear" w:color="auto" w:fill="auto"/>
          <w:lang w:eastAsia="zh-Hans"/>
        </w:rPr>
        <w:t xml:space="preserve">条  </w:t>
      </w:r>
      <w:r>
        <w:rPr>
          <w:rFonts w:hint="eastAsia" w:ascii="仿宋_GB2312" w:hAnsi="仿宋_GB2312" w:eastAsia="仿宋_GB2312" w:cs="仿宋_GB2312"/>
          <w:b w:val="0"/>
          <w:bCs w:val="0"/>
          <w:color w:val="auto"/>
          <w:sz w:val="32"/>
          <w:szCs w:val="32"/>
          <w:highlight w:val="none"/>
          <w:shd w:val="clear" w:color="auto" w:fill="auto"/>
        </w:rPr>
        <w:t>本规定所称“固定经营场所”，是指由砖、钢、混等材料建成，形成可封闭、不可移动的空间，不包含违法建筑、流动摊点、售货车、集装箱屋、临时棚舍、市场无围墙摊位、售货亭、书报亭、占用消防通道、申请时未交付的经营用房等</w:t>
      </w:r>
      <w:r>
        <w:rPr>
          <w:rFonts w:hint="eastAsia" w:ascii="仿宋_GB2312" w:hAnsi="仿宋_GB2312" w:eastAsia="仿宋_GB2312" w:cs="仿宋_GB2312"/>
          <w:b w:val="0"/>
          <w:bCs w:val="0"/>
          <w:color w:val="auto"/>
          <w:sz w:val="32"/>
          <w:szCs w:val="32"/>
          <w:highlight w:val="none"/>
          <w:shd w:val="clear" w:color="auto" w:fill="auto"/>
          <w:lang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eastAsia="zh-Hans"/>
        </w:rPr>
      </w:pPr>
      <w:r>
        <w:rPr>
          <w:rFonts w:hint="eastAsia" w:ascii="黑体" w:hAnsi="黑体" w:eastAsia="黑体" w:cs="仿宋_GB2312"/>
          <w:b w:val="0"/>
          <w:bCs w:val="0"/>
          <w:color w:val="auto"/>
          <w:sz w:val="32"/>
          <w:szCs w:val="32"/>
          <w:highlight w:val="none"/>
          <w:shd w:val="clear" w:color="auto" w:fill="auto"/>
        </w:rPr>
        <w:t>第二十</w:t>
      </w:r>
      <w:r>
        <w:rPr>
          <w:rFonts w:hint="eastAsia" w:ascii="黑体" w:hAnsi="黑体" w:eastAsia="黑体" w:cs="仿宋_GB2312"/>
          <w:b w:val="0"/>
          <w:bCs w:val="0"/>
          <w:color w:val="auto"/>
          <w:sz w:val="32"/>
          <w:szCs w:val="32"/>
          <w:highlight w:val="none"/>
          <w:shd w:val="clear" w:color="auto" w:fill="auto"/>
          <w:lang w:eastAsia="zh-CN"/>
        </w:rPr>
        <w:t>五</w:t>
      </w:r>
      <w:r>
        <w:rPr>
          <w:rFonts w:hint="eastAsia" w:ascii="黑体" w:hAnsi="黑体" w:eastAsia="黑体" w:cs="仿宋_GB2312"/>
          <w:b w:val="0"/>
          <w:bCs w:val="0"/>
          <w:color w:val="auto"/>
          <w:sz w:val="32"/>
          <w:szCs w:val="32"/>
          <w:highlight w:val="none"/>
          <w:shd w:val="clear" w:color="auto" w:fill="auto"/>
        </w:rPr>
        <w:t xml:space="preserve">条  </w:t>
      </w:r>
      <w:r>
        <w:rPr>
          <w:rFonts w:hint="eastAsia" w:ascii="仿宋_GB2312" w:hAnsi="仿宋_GB2312" w:eastAsia="仿宋_GB2312" w:cs="仿宋_GB2312"/>
          <w:b w:val="0"/>
          <w:bCs w:val="0"/>
          <w:color w:val="auto"/>
          <w:sz w:val="32"/>
          <w:szCs w:val="32"/>
          <w:highlight w:val="none"/>
          <w:shd w:val="clear" w:color="auto" w:fill="auto"/>
          <w:lang w:eastAsia="zh-CN"/>
        </w:rPr>
        <w:t>申请地址与</w:t>
      </w:r>
      <w:r>
        <w:rPr>
          <w:rFonts w:hint="eastAsia" w:ascii="仿宋_GB2312" w:hAnsi="仿宋_GB2312" w:eastAsia="仿宋_GB2312" w:cs="仿宋_GB2312"/>
          <w:b w:val="0"/>
          <w:bCs w:val="0"/>
          <w:color w:val="auto"/>
          <w:sz w:val="32"/>
          <w:szCs w:val="32"/>
          <w:highlight w:val="none"/>
          <w:shd w:val="clear" w:color="auto" w:fill="auto"/>
        </w:rPr>
        <w:t>经营场所相连通的储藏室、仓库视为经营场所，应接受烟草专卖局的监督检查。</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rPr>
      </w:pPr>
      <w:r>
        <w:rPr>
          <w:rFonts w:hint="eastAsia" w:ascii="黑体" w:hAnsi="黑体" w:eastAsia="黑体" w:cs="仿宋_GB2312"/>
          <w:b w:val="0"/>
          <w:bCs w:val="0"/>
          <w:color w:val="auto"/>
          <w:sz w:val="32"/>
          <w:szCs w:val="32"/>
          <w:highlight w:val="none"/>
          <w:shd w:val="clear" w:color="auto" w:fill="auto"/>
        </w:rPr>
        <w:t>第二十</w:t>
      </w:r>
      <w:r>
        <w:rPr>
          <w:rFonts w:hint="eastAsia" w:ascii="黑体" w:hAnsi="黑体" w:eastAsia="黑体" w:cs="仿宋_GB2312"/>
          <w:b w:val="0"/>
          <w:bCs w:val="0"/>
          <w:color w:val="auto"/>
          <w:sz w:val="32"/>
          <w:szCs w:val="32"/>
          <w:highlight w:val="none"/>
          <w:shd w:val="clear" w:color="auto" w:fill="auto"/>
          <w:lang w:eastAsia="zh-CN"/>
        </w:rPr>
        <w:t>六</w:t>
      </w:r>
      <w:r>
        <w:rPr>
          <w:rFonts w:hint="eastAsia" w:ascii="黑体" w:hAnsi="黑体" w:eastAsia="黑体" w:cs="仿宋_GB2312"/>
          <w:b w:val="0"/>
          <w:bCs w:val="0"/>
          <w:color w:val="auto"/>
          <w:sz w:val="32"/>
          <w:szCs w:val="32"/>
          <w:highlight w:val="none"/>
          <w:shd w:val="clear" w:color="auto" w:fill="auto"/>
        </w:rPr>
        <w:t xml:space="preserve">条  </w:t>
      </w:r>
      <w:r>
        <w:rPr>
          <w:rFonts w:hint="eastAsia" w:ascii="仿宋_GB2312" w:hAnsi="仿宋_GB2312" w:eastAsia="仿宋_GB2312" w:cs="仿宋_GB2312"/>
          <w:b w:val="0"/>
          <w:bCs w:val="0"/>
          <w:color w:val="auto"/>
          <w:sz w:val="32"/>
          <w:szCs w:val="32"/>
          <w:highlight w:val="none"/>
          <w:shd w:val="clear" w:color="auto" w:fill="auto"/>
        </w:rPr>
        <w:t>烟草专卖局每季度初</w:t>
      </w:r>
      <w:r>
        <w:rPr>
          <w:rFonts w:hint="eastAsia" w:ascii="仿宋_GB2312" w:hAnsi="仿宋_GB2312" w:eastAsia="仿宋_GB2312" w:cs="仿宋_GB2312"/>
          <w:b w:val="0"/>
          <w:bCs w:val="0"/>
          <w:color w:val="auto"/>
          <w:sz w:val="32"/>
          <w:szCs w:val="32"/>
          <w:highlight w:val="none"/>
          <w:shd w:val="clear" w:color="auto" w:fill="auto"/>
          <w:lang w:eastAsia="zh-CN"/>
        </w:rPr>
        <w:t>五个工作</w:t>
      </w:r>
      <w:r>
        <w:rPr>
          <w:rFonts w:hint="eastAsia" w:ascii="仿宋_GB2312" w:hAnsi="仿宋_GB2312" w:eastAsia="仿宋_GB2312" w:cs="仿宋_GB2312"/>
          <w:b w:val="0"/>
          <w:bCs w:val="0"/>
          <w:color w:val="auto"/>
          <w:sz w:val="32"/>
          <w:szCs w:val="32"/>
          <w:highlight w:val="none"/>
          <w:shd w:val="clear" w:color="auto" w:fill="auto"/>
        </w:rPr>
        <w:t>日内在</w:t>
      </w:r>
      <w:r>
        <w:rPr>
          <w:rFonts w:hint="eastAsia" w:ascii="仿宋_GB2312" w:hAnsi="仿宋_GB2312" w:eastAsia="仿宋_GB2312" w:cs="仿宋_GB2312"/>
          <w:b w:val="0"/>
          <w:bCs w:val="0"/>
          <w:color w:val="auto"/>
          <w:sz w:val="32"/>
          <w:szCs w:val="32"/>
          <w:highlight w:val="none"/>
          <w:shd w:val="clear" w:color="auto" w:fill="auto"/>
          <w:lang w:eastAsia="zh-CN"/>
        </w:rPr>
        <w:t>新华区</w:t>
      </w:r>
      <w:r>
        <w:rPr>
          <w:rFonts w:hint="eastAsia" w:ascii="仿宋_GB2312" w:hAnsi="仿宋_GB2312" w:eastAsia="仿宋_GB2312" w:cs="仿宋_GB2312"/>
          <w:b w:val="0"/>
          <w:bCs w:val="0"/>
          <w:color w:val="auto"/>
          <w:sz w:val="32"/>
          <w:szCs w:val="32"/>
          <w:highlight w:val="none"/>
          <w:shd w:val="clear" w:color="auto" w:fill="auto"/>
        </w:rPr>
        <w:t>人民政府信息公开平台和</w:t>
      </w:r>
      <w:r>
        <w:rPr>
          <w:rFonts w:hint="eastAsia" w:ascii="仿宋_GB2312" w:hAnsi="仿宋_GB2312" w:eastAsia="仿宋_GB2312" w:cs="仿宋_GB2312"/>
          <w:b w:val="0"/>
          <w:bCs w:val="0"/>
          <w:color w:val="auto"/>
          <w:sz w:val="32"/>
          <w:szCs w:val="32"/>
          <w:highlight w:val="none"/>
          <w:shd w:val="clear" w:color="auto" w:fill="auto"/>
          <w:lang w:eastAsia="zh-CN"/>
        </w:rPr>
        <w:t>新华区</w:t>
      </w:r>
      <w:r>
        <w:rPr>
          <w:rFonts w:hint="eastAsia" w:ascii="仿宋_GB2312" w:hAnsi="仿宋_GB2312" w:eastAsia="仿宋_GB2312" w:cs="仿宋_GB2312"/>
          <w:b w:val="0"/>
          <w:bCs w:val="0"/>
          <w:color w:val="auto"/>
          <w:sz w:val="32"/>
          <w:szCs w:val="32"/>
          <w:highlight w:val="none"/>
          <w:shd w:val="clear" w:color="auto" w:fill="auto"/>
        </w:rPr>
        <w:t>烟草专卖局行政服务大厅对区域单元相关信息进行公示（遇节假日自动顺延），公示期为7天，有效期为一个季度，公示期结束后按照公示中的时间开始接受申请。</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rPr>
      </w:pPr>
      <w:r>
        <w:rPr>
          <w:rFonts w:hint="eastAsia" w:ascii="黑体" w:hAnsi="黑体" w:eastAsia="黑体" w:cs="仿宋_GB2312"/>
          <w:b w:val="0"/>
          <w:bCs w:val="0"/>
          <w:color w:val="auto"/>
          <w:sz w:val="32"/>
          <w:szCs w:val="32"/>
          <w:highlight w:val="none"/>
          <w:shd w:val="clear" w:color="auto" w:fill="auto"/>
        </w:rPr>
        <w:t>第二十</w:t>
      </w:r>
      <w:r>
        <w:rPr>
          <w:rFonts w:hint="eastAsia" w:ascii="黑体" w:hAnsi="黑体" w:eastAsia="黑体" w:cs="仿宋_GB2312"/>
          <w:b w:val="0"/>
          <w:bCs w:val="0"/>
          <w:color w:val="auto"/>
          <w:sz w:val="32"/>
          <w:szCs w:val="32"/>
          <w:highlight w:val="none"/>
          <w:shd w:val="clear" w:color="auto" w:fill="auto"/>
          <w:lang w:eastAsia="zh-CN"/>
        </w:rPr>
        <w:t>七</w:t>
      </w:r>
      <w:r>
        <w:rPr>
          <w:rFonts w:hint="eastAsia" w:ascii="黑体" w:hAnsi="黑体" w:eastAsia="黑体" w:cs="仿宋_GB2312"/>
          <w:b w:val="0"/>
          <w:bCs w:val="0"/>
          <w:color w:val="auto"/>
          <w:sz w:val="32"/>
          <w:szCs w:val="32"/>
          <w:highlight w:val="none"/>
          <w:shd w:val="clear" w:color="auto" w:fill="auto"/>
        </w:rPr>
        <w:t>条</w:t>
      </w:r>
      <w:r>
        <w:rPr>
          <w:rFonts w:ascii="仿宋_GB2312" w:hAnsi="仿宋_GB2312" w:eastAsia="仿宋_GB2312" w:cs="仿宋_GB2312"/>
          <w:b w:val="0"/>
          <w:bCs w:val="0"/>
          <w:color w:val="auto"/>
          <w:sz w:val="32"/>
          <w:szCs w:val="32"/>
          <w:highlight w:val="none"/>
          <w:shd w:val="clear" w:color="auto" w:fill="auto"/>
          <w:lang w:eastAsia="zh-Hans"/>
        </w:rPr>
        <w:t xml:space="preserve">  </w:t>
      </w:r>
      <w:bookmarkEnd w:id="0"/>
      <w:r>
        <w:rPr>
          <w:rFonts w:hint="eastAsia" w:ascii="仿宋_GB2312" w:hAnsi="仿宋_GB2312" w:eastAsia="仿宋_GB2312" w:cs="仿宋_GB2312"/>
          <w:b w:val="0"/>
          <w:bCs w:val="0"/>
          <w:color w:val="auto"/>
          <w:sz w:val="32"/>
          <w:szCs w:val="32"/>
          <w:highlight w:val="none"/>
          <w:shd w:val="clear" w:color="auto" w:fill="auto"/>
        </w:rPr>
        <w:t>本规定与国家有关法律法规和国家局、省局、市局有关规定相悖的，以国家有关法律法规和国家局、省局、市局有关规定为准。</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rPr>
      </w:pPr>
      <w:r>
        <w:rPr>
          <w:rFonts w:hint="eastAsia" w:ascii="黑体" w:hAnsi="黑体" w:eastAsia="黑体" w:cs="仿宋_GB2312"/>
          <w:b w:val="0"/>
          <w:bCs w:val="0"/>
          <w:color w:val="auto"/>
          <w:sz w:val="32"/>
          <w:szCs w:val="32"/>
          <w:highlight w:val="none"/>
          <w:shd w:val="clear" w:color="auto" w:fill="auto"/>
        </w:rPr>
        <w:t>第</w:t>
      </w:r>
      <w:r>
        <w:rPr>
          <w:rFonts w:hint="eastAsia" w:ascii="黑体" w:hAnsi="黑体" w:eastAsia="黑体" w:cs="仿宋_GB2312"/>
          <w:b w:val="0"/>
          <w:bCs w:val="0"/>
          <w:color w:val="auto"/>
          <w:sz w:val="32"/>
          <w:szCs w:val="32"/>
          <w:highlight w:val="none"/>
          <w:shd w:val="clear" w:color="auto" w:fill="auto"/>
          <w:lang w:eastAsia="zh-CN"/>
        </w:rPr>
        <w:t>二十八</w:t>
      </w:r>
      <w:r>
        <w:rPr>
          <w:rFonts w:hint="eastAsia" w:ascii="黑体" w:hAnsi="黑体" w:eastAsia="黑体" w:cs="仿宋_GB2312"/>
          <w:b w:val="0"/>
          <w:bCs w:val="0"/>
          <w:color w:val="auto"/>
          <w:sz w:val="32"/>
          <w:szCs w:val="32"/>
          <w:highlight w:val="none"/>
          <w:shd w:val="clear" w:color="auto" w:fill="auto"/>
        </w:rPr>
        <w:t>条</w:t>
      </w:r>
      <w:r>
        <w:rPr>
          <w:rFonts w:ascii="仿宋_GB2312" w:hAnsi="仿宋_GB2312" w:eastAsia="仿宋_GB2312" w:cs="仿宋_GB2312"/>
          <w:b w:val="0"/>
          <w:bCs w:val="0"/>
          <w:color w:val="auto"/>
          <w:sz w:val="32"/>
          <w:szCs w:val="32"/>
          <w:highlight w:val="none"/>
          <w:shd w:val="clear" w:color="auto" w:fill="auto"/>
          <w:lang w:eastAsia="zh-Hans"/>
        </w:rPr>
        <w:t xml:space="preserve">  </w:t>
      </w:r>
      <w:r>
        <w:rPr>
          <w:rFonts w:hint="eastAsia" w:ascii="仿宋_GB2312" w:eastAsia="仿宋_GB2312" w:cs="仿宋_GB2312"/>
          <w:b w:val="0"/>
          <w:bCs w:val="0"/>
          <w:color w:val="auto"/>
          <w:sz w:val="32"/>
          <w:szCs w:val="32"/>
          <w:highlight w:val="none"/>
          <w:shd w:val="clear" w:color="auto" w:fill="auto"/>
          <w:lang w:val="zh-CN"/>
        </w:rPr>
        <w:t>本规定自</w:t>
      </w:r>
      <w:r>
        <w:rPr>
          <w:rFonts w:hint="eastAsia" w:ascii="仿宋_GB2312" w:eastAsia="仿宋_GB2312" w:cs="仿宋_GB2312"/>
          <w:b w:val="0"/>
          <w:bCs w:val="0"/>
          <w:color w:val="auto"/>
          <w:sz w:val="32"/>
          <w:szCs w:val="32"/>
          <w:highlight w:val="none"/>
          <w:shd w:val="clear" w:color="auto" w:fill="auto"/>
          <w:lang w:val="en-US" w:eastAsia="zh-CN"/>
        </w:rPr>
        <w:t>20XX年XX月XX日</w:t>
      </w:r>
      <w:r>
        <w:rPr>
          <w:rFonts w:hint="eastAsia" w:ascii="仿宋_GB2312" w:eastAsia="仿宋_GB2312" w:cs="仿宋_GB2312"/>
          <w:b w:val="0"/>
          <w:bCs w:val="0"/>
          <w:color w:val="auto"/>
          <w:sz w:val="32"/>
          <w:szCs w:val="32"/>
          <w:highlight w:val="none"/>
          <w:shd w:val="clear" w:color="auto" w:fill="auto"/>
          <w:lang w:val="zh-CN"/>
        </w:rPr>
        <w:t>起施行，有效期五年。原《新华区烟草制品零售点合理布局规定》（新华烟法〔2024〕1号）同时废止。</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rPr>
      </w:pPr>
      <w:r>
        <w:rPr>
          <w:rFonts w:hint="eastAsia" w:ascii="黑体" w:hAnsi="黑体" w:eastAsia="黑体" w:cs="仿宋_GB2312"/>
          <w:b w:val="0"/>
          <w:bCs w:val="0"/>
          <w:color w:val="auto"/>
          <w:sz w:val="32"/>
          <w:szCs w:val="32"/>
          <w:highlight w:val="none"/>
          <w:shd w:val="clear" w:color="auto" w:fill="auto"/>
        </w:rPr>
        <w:t>第</w:t>
      </w:r>
      <w:r>
        <w:rPr>
          <w:rFonts w:hint="eastAsia" w:ascii="黑体" w:hAnsi="黑体" w:eastAsia="黑体" w:cs="仿宋_GB2312"/>
          <w:b w:val="0"/>
          <w:bCs w:val="0"/>
          <w:color w:val="auto"/>
          <w:sz w:val="32"/>
          <w:szCs w:val="32"/>
          <w:highlight w:val="none"/>
          <w:shd w:val="clear" w:color="auto" w:fill="auto"/>
          <w:lang w:eastAsia="zh-CN"/>
        </w:rPr>
        <w:t>二十九</w:t>
      </w:r>
      <w:r>
        <w:rPr>
          <w:rFonts w:hint="eastAsia" w:ascii="黑体" w:hAnsi="黑体" w:eastAsia="黑体" w:cs="仿宋_GB2312"/>
          <w:b w:val="0"/>
          <w:bCs w:val="0"/>
          <w:color w:val="auto"/>
          <w:sz w:val="32"/>
          <w:szCs w:val="32"/>
          <w:highlight w:val="none"/>
          <w:shd w:val="clear" w:color="auto" w:fill="auto"/>
        </w:rPr>
        <w:t>条</w:t>
      </w:r>
      <w:r>
        <w:rPr>
          <w:rFonts w:ascii="仿宋_GB2312" w:hAnsi="仿宋_GB2312" w:eastAsia="仿宋_GB2312" w:cs="仿宋_GB2312"/>
          <w:b w:val="0"/>
          <w:bCs w:val="0"/>
          <w:color w:val="auto"/>
          <w:sz w:val="32"/>
          <w:szCs w:val="32"/>
          <w:highlight w:val="none"/>
          <w:shd w:val="clear" w:color="auto" w:fill="auto"/>
          <w:lang w:eastAsia="zh-Hans"/>
        </w:rPr>
        <w:t xml:space="preserve">  </w:t>
      </w:r>
      <w:r>
        <w:rPr>
          <w:rFonts w:hint="eastAsia" w:ascii="仿宋_GB2312" w:hAnsi="仿宋_GB2312" w:eastAsia="仿宋_GB2312" w:cs="仿宋_GB2312"/>
          <w:b w:val="0"/>
          <w:bCs w:val="0"/>
          <w:color w:val="auto"/>
          <w:sz w:val="32"/>
          <w:szCs w:val="32"/>
          <w:highlight w:val="none"/>
          <w:shd w:val="clear" w:color="auto" w:fill="auto"/>
        </w:rPr>
        <w:t>本规定由</w:t>
      </w:r>
      <w:bookmarkStart w:id="1" w:name="_GoBack"/>
      <w:r>
        <w:rPr>
          <w:rFonts w:hint="eastAsia" w:ascii="仿宋_GB2312" w:hAnsi="仿宋_GB2312" w:eastAsia="仿宋_GB2312" w:cs="仿宋_GB2312"/>
          <w:b w:val="0"/>
          <w:bCs w:val="0"/>
          <w:color w:val="auto"/>
          <w:sz w:val="32"/>
          <w:szCs w:val="32"/>
          <w:highlight w:val="none"/>
          <w:shd w:val="clear" w:color="auto" w:fill="auto"/>
          <w:lang w:eastAsia="zh-CN"/>
        </w:rPr>
        <w:t>新华区</w:t>
      </w:r>
      <w:bookmarkEnd w:id="1"/>
      <w:r>
        <w:rPr>
          <w:rFonts w:hint="eastAsia" w:ascii="仿宋_GB2312" w:hAnsi="仿宋_GB2312" w:eastAsia="仿宋_GB2312" w:cs="仿宋_GB2312"/>
          <w:b w:val="0"/>
          <w:bCs w:val="0"/>
          <w:color w:val="auto"/>
          <w:sz w:val="32"/>
          <w:szCs w:val="32"/>
          <w:highlight w:val="none"/>
          <w:shd w:val="clear" w:color="auto" w:fill="auto"/>
        </w:rPr>
        <w:t>烟草专卖局负责解释。</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rPr>
      </w:pP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rPr>
      </w:pP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rPr>
      </w:pP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rPr>
      </w:pP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sz w:val="32"/>
          <w:szCs w:val="32"/>
          <w:highlight w:val="none"/>
          <w:shd w:val="clear" w:color="auto" w:fill="auto"/>
          <w:lang w:eastAsia="zh-CN"/>
        </w:rPr>
      </w:pPr>
      <w:r>
        <w:rPr>
          <w:rFonts w:hint="eastAsia" w:ascii="仿宋_GB2312" w:hAnsi="仿宋_GB2312" w:eastAsia="仿宋_GB2312" w:cs="仿宋_GB2312"/>
          <w:b w:val="0"/>
          <w:bCs w:val="0"/>
          <w:color w:val="auto"/>
          <w:sz w:val="32"/>
          <w:szCs w:val="32"/>
          <w:highlight w:val="none"/>
          <w:shd w:val="clear" w:color="auto" w:fill="auto"/>
          <w:lang w:eastAsia="zh-CN"/>
        </w:rPr>
        <w:t>（主动公开）</w:t>
      </w:r>
    </w:p>
    <w:sectPr>
      <w:footerReference r:id="rId3" w:type="default"/>
      <w:pgSz w:w="11906" w:h="16838"/>
      <w:pgMar w:top="1531" w:right="1800" w:bottom="1531" w:left="1800" w:header="851" w:footer="1134" w:gutter="0"/>
      <w:cols w:space="720" w:num="1"/>
      <w:docGrid w:type="lines" w:linePitch="31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4"/>
                            <w:jc w:val="center"/>
                          </w:pPr>
                          <w:r>
                            <w:fldChar w:fldCharType="begin"/>
                          </w:r>
                          <w:r>
                            <w:instrText xml:space="preserve"> PAGE   \* MERGEFORMAT </w:instrText>
                          </w:r>
                          <w:r>
                            <w:fldChar w:fldCharType="separate"/>
                          </w:r>
                          <w:r>
                            <w:t>4</w:t>
                          </w:r>
                          <w:r>
                            <w:fldChar w:fldCharType="end"/>
                          </w:r>
                        </w:p>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GhpgkvTAAAABQEAAA8AAAAA&#10;AAAAAQAgAAAAIgAAAGRycy9kb3ducmV2LnhtbFBLAQIUABQAAAAIAIdO4kDegLNd4AEAALoDAAAO&#10;AAAAAAAAAAEAIAAAACIBAABkcnMvZTJvRG9jLnhtbFBLBQYAAAAABgAGAFkBAAB0BQAAAAA=&#10;">
              <v:fill on="f" focussize="0,0"/>
              <v:stroke on="f" weight="1.25pt"/>
              <v:imagedata o:title=""/>
              <o:lock v:ext="edit" aspectratio="f"/>
              <v:textbox inset="0mm,0mm,0mm,0mm" style="mso-fit-shape-to-text:t;">
                <w:txbxContent>
                  <w:p>
                    <w:pPr>
                      <w:pStyle w:val="4"/>
                      <w:jc w:val="center"/>
                    </w:pPr>
                    <w:r>
                      <w:fldChar w:fldCharType="begin"/>
                    </w:r>
                    <w:r>
                      <w:instrText xml:space="preserve"> PAGE   \* MERGEFORMAT </w:instrText>
                    </w:r>
                    <w:r>
                      <w:fldChar w:fldCharType="separate"/>
                    </w:r>
                    <w:r>
                      <w:t>4</w:t>
                    </w:r>
                    <w:r>
                      <w:fldChar w:fldCharType="end"/>
                    </w:r>
                  </w:p>
                </w:txbxContent>
              </v:textbox>
            </v:shape>
          </w:pict>
        </mc:Fallback>
      </mc:AlternateConten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FFD36E1"/>
    <w:multiLevelType w:val="singleLevel"/>
    <w:tmpl w:val="EFFD36E1"/>
    <w:lvl w:ilvl="0" w:tentative="0">
      <w:start w:val="2"/>
      <w:numFmt w:val="chineseCounting"/>
      <w:suff w:val="space"/>
      <w:lvlText w:val="第%1章"/>
      <w:lvlJc w:val="left"/>
      <w:rPr>
        <w:rFonts w:hint="eastAsia"/>
      </w:rPr>
    </w:lvl>
  </w:abstractNum>
  <w:abstractNum w:abstractNumId="1">
    <w:nsid w:val="00000004"/>
    <w:multiLevelType w:val="singleLevel"/>
    <w:tmpl w:val="00000004"/>
    <w:lvl w:ilvl="0" w:tentative="0">
      <w:start w:val="1"/>
      <w:numFmt w:val="chineseCounting"/>
      <w:pStyle w:val="2"/>
      <w:suff w:val="nothing"/>
      <w:lvlText w:val="%1、"/>
      <w:lvlJc w:val="left"/>
      <w:pPr>
        <w:ind w:left="0" w:firstLine="420"/>
      </w:pPr>
      <w:rPr>
        <w:rFonts w:hint="eastAsia"/>
      </w:rPr>
    </w:lvl>
  </w:abstractNum>
  <w:abstractNum w:abstractNumId="2">
    <w:nsid w:val="1B439887"/>
    <w:multiLevelType w:val="singleLevel"/>
    <w:tmpl w:val="1B439887"/>
    <w:lvl w:ilvl="0" w:tentative="0">
      <w:start w:val="2"/>
      <w:numFmt w:val="chineseCounting"/>
      <w:suff w:val="nothing"/>
      <w:lvlText w:val="（%1）"/>
      <w:lvlJc w:val="left"/>
      <w:pPr>
        <w:ind w:left="-1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5"/>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wM2NiZThlNDQyNzM2MjkyZDAxZDNiZTJmNjhmMDMifQ=="/>
  </w:docVars>
  <w:rsids>
    <w:rsidRoot w:val="00172A27"/>
    <w:rsid w:val="0001578D"/>
    <w:rsid w:val="00015F6C"/>
    <w:rsid w:val="00017055"/>
    <w:rsid w:val="000653F7"/>
    <w:rsid w:val="00077720"/>
    <w:rsid w:val="000A1FB0"/>
    <w:rsid w:val="000B42E6"/>
    <w:rsid w:val="000C2FBE"/>
    <w:rsid w:val="000D16E9"/>
    <w:rsid w:val="000E50D2"/>
    <w:rsid w:val="0010509C"/>
    <w:rsid w:val="00131A0B"/>
    <w:rsid w:val="001500B0"/>
    <w:rsid w:val="00156B84"/>
    <w:rsid w:val="001C2EC0"/>
    <w:rsid w:val="001C5AB1"/>
    <w:rsid w:val="00207C50"/>
    <w:rsid w:val="00212505"/>
    <w:rsid w:val="00223518"/>
    <w:rsid w:val="00245E77"/>
    <w:rsid w:val="00287B55"/>
    <w:rsid w:val="00350163"/>
    <w:rsid w:val="00355D58"/>
    <w:rsid w:val="00363AD9"/>
    <w:rsid w:val="00387563"/>
    <w:rsid w:val="00391291"/>
    <w:rsid w:val="0039782A"/>
    <w:rsid w:val="003C1346"/>
    <w:rsid w:val="003D646B"/>
    <w:rsid w:val="003F03BE"/>
    <w:rsid w:val="00403232"/>
    <w:rsid w:val="00406A32"/>
    <w:rsid w:val="00412170"/>
    <w:rsid w:val="00441FE8"/>
    <w:rsid w:val="00446170"/>
    <w:rsid w:val="00446D16"/>
    <w:rsid w:val="004A3583"/>
    <w:rsid w:val="004C131F"/>
    <w:rsid w:val="004C21E8"/>
    <w:rsid w:val="004E08B4"/>
    <w:rsid w:val="004E57DD"/>
    <w:rsid w:val="004E67F5"/>
    <w:rsid w:val="00554104"/>
    <w:rsid w:val="00583FF0"/>
    <w:rsid w:val="005B01F4"/>
    <w:rsid w:val="005C3F32"/>
    <w:rsid w:val="005D709D"/>
    <w:rsid w:val="006074ED"/>
    <w:rsid w:val="006429D0"/>
    <w:rsid w:val="006A0981"/>
    <w:rsid w:val="006A3EA8"/>
    <w:rsid w:val="006A7543"/>
    <w:rsid w:val="006B3958"/>
    <w:rsid w:val="006E34A2"/>
    <w:rsid w:val="006F32E7"/>
    <w:rsid w:val="006F740C"/>
    <w:rsid w:val="00706052"/>
    <w:rsid w:val="007238CD"/>
    <w:rsid w:val="00765A30"/>
    <w:rsid w:val="007839B5"/>
    <w:rsid w:val="00787E0F"/>
    <w:rsid w:val="007B4B52"/>
    <w:rsid w:val="007B7060"/>
    <w:rsid w:val="007C1176"/>
    <w:rsid w:val="007C4001"/>
    <w:rsid w:val="007C6F63"/>
    <w:rsid w:val="007D2B9E"/>
    <w:rsid w:val="00810553"/>
    <w:rsid w:val="00817CFC"/>
    <w:rsid w:val="00867F84"/>
    <w:rsid w:val="00872E25"/>
    <w:rsid w:val="008B40DE"/>
    <w:rsid w:val="008C45D6"/>
    <w:rsid w:val="008F26B4"/>
    <w:rsid w:val="00946F4D"/>
    <w:rsid w:val="00950710"/>
    <w:rsid w:val="00961BDC"/>
    <w:rsid w:val="009964C1"/>
    <w:rsid w:val="009C45D6"/>
    <w:rsid w:val="00A20C07"/>
    <w:rsid w:val="00A52391"/>
    <w:rsid w:val="00A83A81"/>
    <w:rsid w:val="00A87CBE"/>
    <w:rsid w:val="00AE6203"/>
    <w:rsid w:val="00AE63C5"/>
    <w:rsid w:val="00AF7906"/>
    <w:rsid w:val="00B16632"/>
    <w:rsid w:val="00B632FB"/>
    <w:rsid w:val="00B668E4"/>
    <w:rsid w:val="00B85B60"/>
    <w:rsid w:val="00BB11CF"/>
    <w:rsid w:val="00BC5746"/>
    <w:rsid w:val="00BD7D39"/>
    <w:rsid w:val="00BF5125"/>
    <w:rsid w:val="00C03B3C"/>
    <w:rsid w:val="00C148D9"/>
    <w:rsid w:val="00C53CC7"/>
    <w:rsid w:val="00C57C6B"/>
    <w:rsid w:val="00C7083D"/>
    <w:rsid w:val="00C92427"/>
    <w:rsid w:val="00CA4FED"/>
    <w:rsid w:val="00CD57AD"/>
    <w:rsid w:val="00D17749"/>
    <w:rsid w:val="00D30020"/>
    <w:rsid w:val="00D32129"/>
    <w:rsid w:val="00D3466C"/>
    <w:rsid w:val="00D36000"/>
    <w:rsid w:val="00D50891"/>
    <w:rsid w:val="00D81485"/>
    <w:rsid w:val="00DB5CDD"/>
    <w:rsid w:val="00DE3EE9"/>
    <w:rsid w:val="00DE4DB9"/>
    <w:rsid w:val="00E120B6"/>
    <w:rsid w:val="00E2264A"/>
    <w:rsid w:val="00E377CB"/>
    <w:rsid w:val="00E76324"/>
    <w:rsid w:val="00E77889"/>
    <w:rsid w:val="00E9277D"/>
    <w:rsid w:val="00EB01FE"/>
    <w:rsid w:val="00EC7E3D"/>
    <w:rsid w:val="00ED182E"/>
    <w:rsid w:val="00F31CEA"/>
    <w:rsid w:val="00F62AD8"/>
    <w:rsid w:val="00F640E4"/>
    <w:rsid w:val="00F70D4E"/>
    <w:rsid w:val="00FD1195"/>
    <w:rsid w:val="02771B16"/>
    <w:rsid w:val="046F6204"/>
    <w:rsid w:val="0730783A"/>
    <w:rsid w:val="0CEB1054"/>
    <w:rsid w:val="0E6048E7"/>
    <w:rsid w:val="0F2D59AE"/>
    <w:rsid w:val="0F312A0B"/>
    <w:rsid w:val="10BF1CFB"/>
    <w:rsid w:val="11434861"/>
    <w:rsid w:val="127D71A8"/>
    <w:rsid w:val="137F2CC6"/>
    <w:rsid w:val="14603F02"/>
    <w:rsid w:val="177F26EC"/>
    <w:rsid w:val="18D35ED0"/>
    <w:rsid w:val="18E810CC"/>
    <w:rsid w:val="1BBFF101"/>
    <w:rsid w:val="1BF245CB"/>
    <w:rsid w:val="1D257B7E"/>
    <w:rsid w:val="1D7FFA05"/>
    <w:rsid w:val="1DAF2457"/>
    <w:rsid w:val="1E8F6B91"/>
    <w:rsid w:val="1F2F5ED5"/>
    <w:rsid w:val="1FF50092"/>
    <w:rsid w:val="200444CB"/>
    <w:rsid w:val="207E5F48"/>
    <w:rsid w:val="20B8642A"/>
    <w:rsid w:val="2165712D"/>
    <w:rsid w:val="21835E5D"/>
    <w:rsid w:val="21B56012"/>
    <w:rsid w:val="230E2D18"/>
    <w:rsid w:val="23E73431"/>
    <w:rsid w:val="245D79B5"/>
    <w:rsid w:val="246C5D48"/>
    <w:rsid w:val="24AB7DFE"/>
    <w:rsid w:val="2515493C"/>
    <w:rsid w:val="26451B91"/>
    <w:rsid w:val="28E45D27"/>
    <w:rsid w:val="28F34658"/>
    <w:rsid w:val="2ADFBA02"/>
    <w:rsid w:val="2AFBD53E"/>
    <w:rsid w:val="2B155183"/>
    <w:rsid w:val="2D1E1B22"/>
    <w:rsid w:val="2DF2F40F"/>
    <w:rsid w:val="2E0F53F7"/>
    <w:rsid w:val="2E60776D"/>
    <w:rsid w:val="2E9C513D"/>
    <w:rsid w:val="2F49014D"/>
    <w:rsid w:val="2F7E817E"/>
    <w:rsid w:val="2FFA52E5"/>
    <w:rsid w:val="307801D7"/>
    <w:rsid w:val="33483434"/>
    <w:rsid w:val="33FDA5AD"/>
    <w:rsid w:val="359747B0"/>
    <w:rsid w:val="36E7043D"/>
    <w:rsid w:val="36FF2245"/>
    <w:rsid w:val="37690E1C"/>
    <w:rsid w:val="37A70892"/>
    <w:rsid w:val="37AE67E7"/>
    <w:rsid w:val="387437C7"/>
    <w:rsid w:val="3A711190"/>
    <w:rsid w:val="3B6E6274"/>
    <w:rsid w:val="3BFD4952"/>
    <w:rsid w:val="3D743C8B"/>
    <w:rsid w:val="3DFBD574"/>
    <w:rsid w:val="3DFF6395"/>
    <w:rsid w:val="3E7B6707"/>
    <w:rsid w:val="3FB328C8"/>
    <w:rsid w:val="3FBE40AD"/>
    <w:rsid w:val="3FCFB01F"/>
    <w:rsid w:val="3FEF4992"/>
    <w:rsid w:val="3FFFC0A9"/>
    <w:rsid w:val="42967DA2"/>
    <w:rsid w:val="45ED0B7E"/>
    <w:rsid w:val="46474B31"/>
    <w:rsid w:val="46C9610C"/>
    <w:rsid w:val="47083388"/>
    <w:rsid w:val="47773526"/>
    <w:rsid w:val="47FBCA6C"/>
    <w:rsid w:val="4A911963"/>
    <w:rsid w:val="4E9B1A66"/>
    <w:rsid w:val="4F7B2B79"/>
    <w:rsid w:val="4FDDF8F6"/>
    <w:rsid w:val="4FEF3CAD"/>
    <w:rsid w:val="516D45D8"/>
    <w:rsid w:val="51990B9B"/>
    <w:rsid w:val="52454077"/>
    <w:rsid w:val="5299671B"/>
    <w:rsid w:val="536D1613"/>
    <w:rsid w:val="53F030FF"/>
    <w:rsid w:val="54DF7E41"/>
    <w:rsid w:val="55FF355E"/>
    <w:rsid w:val="560F104E"/>
    <w:rsid w:val="566BE269"/>
    <w:rsid w:val="56EFD924"/>
    <w:rsid w:val="570A7BC2"/>
    <w:rsid w:val="57DA69E0"/>
    <w:rsid w:val="57DDA905"/>
    <w:rsid w:val="57FA27CE"/>
    <w:rsid w:val="5854067D"/>
    <w:rsid w:val="58F64CB8"/>
    <w:rsid w:val="58FE54B4"/>
    <w:rsid w:val="5C2605BE"/>
    <w:rsid w:val="5C345BC4"/>
    <w:rsid w:val="5C47109A"/>
    <w:rsid w:val="5EF1608E"/>
    <w:rsid w:val="5EF6B128"/>
    <w:rsid w:val="5EF900E7"/>
    <w:rsid w:val="5F5C55E2"/>
    <w:rsid w:val="5F6B7C94"/>
    <w:rsid w:val="5F7DBD68"/>
    <w:rsid w:val="5F7FAD86"/>
    <w:rsid w:val="5FBFF94C"/>
    <w:rsid w:val="5FEA77B7"/>
    <w:rsid w:val="5FEB97B0"/>
    <w:rsid w:val="5FFF4A57"/>
    <w:rsid w:val="600A4E49"/>
    <w:rsid w:val="617A4976"/>
    <w:rsid w:val="62915622"/>
    <w:rsid w:val="62EE02DF"/>
    <w:rsid w:val="638E27CB"/>
    <w:rsid w:val="672A3C57"/>
    <w:rsid w:val="67DD12BF"/>
    <w:rsid w:val="67FFDE94"/>
    <w:rsid w:val="6A151055"/>
    <w:rsid w:val="6A66093B"/>
    <w:rsid w:val="6A7D2CC4"/>
    <w:rsid w:val="6ADD29D9"/>
    <w:rsid w:val="6B55CAB8"/>
    <w:rsid w:val="6B5E3407"/>
    <w:rsid w:val="6C882BAE"/>
    <w:rsid w:val="6CED5213"/>
    <w:rsid w:val="6CFA19BD"/>
    <w:rsid w:val="6D206000"/>
    <w:rsid w:val="6D4E24BE"/>
    <w:rsid w:val="6EF763D9"/>
    <w:rsid w:val="6EFE6F2C"/>
    <w:rsid w:val="6F0F0311"/>
    <w:rsid w:val="6F135FCD"/>
    <w:rsid w:val="6F4BFB40"/>
    <w:rsid w:val="6F6E3165"/>
    <w:rsid w:val="6FFB03A1"/>
    <w:rsid w:val="708A211F"/>
    <w:rsid w:val="71754D49"/>
    <w:rsid w:val="73031CE9"/>
    <w:rsid w:val="736FA984"/>
    <w:rsid w:val="737E7022"/>
    <w:rsid w:val="73FF387B"/>
    <w:rsid w:val="745F9C4D"/>
    <w:rsid w:val="746F0E7F"/>
    <w:rsid w:val="747B76AF"/>
    <w:rsid w:val="75B548FE"/>
    <w:rsid w:val="766B3F26"/>
    <w:rsid w:val="76DC016A"/>
    <w:rsid w:val="774FB658"/>
    <w:rsid w:val="7757C5DA"/>
    <w:rsid w:val="77B94461"/>
    <w:rsid w:val="77EB0BB2"/>
    <w:rsid w:val="77EF36C8"/>
    <w:rsid w:val="77F94B5A"/>
    <w:rsid w:val="77FC4B37"/>
    <w:rsid w:val="77FCBD81"/>
    <w:rsid w:val="781352C2"/>
    <w:rsid w:val="78167C16"/>
    <w:rsid w:val="798B3C60"/>
    <w:rsid w:val="79BF84EB"/>
    <w:rsid w:val="79DFFF13"/>
    <w:rsid w:val="79EF17FA"/>
    <w:rsid w:val="79FEEA00"/>
    <w:rsid w:val="7A731B06"/>
    <w:rsid w:val="7ADA0048"/>
    <w:rsid w:val="7AE60C17"/>
    <w:rsid w:val="7B405D13"/>
    <w:rsid w:val="7BAA6C0B"/>
    <w:rsid w:val="7BBF2149"/>
    <w:rsid w:val="7BD7FDBF"/>
    <w:rsid w:val="7BF171DC"/>
    <w:rsid w:val="7BFA1BB0"/>
    <w:rsid w:val="7BFC24C1"/>
    <w:rsid w:val="7BFC2EE3"/>
    <w:rsid w:val="7CDC1609"/>
    <w:rsid w:val="7D8C5811"/>
    <w:rsid w:val="7DAF5416"/>
    <w:rsid w:val="7DEF488F"/>
    <w:rsid w:val="7DFDC01A"/>
    <w:rsid w:val="7DFDEC82"/>
    <w:rsid w:val="7DFFF000"/>
    <w:rsid w:val="7E1F12C0"/>
    <w:rsid w:val="7EBFF61F"/>
    <w:rsid w:val="7EFDE4C7"/>
    <w:rsid w:val="7F0D2E41"/>
    <w:rsid w:val="7F2A463A"/>
    <w:rsid w:val="7F47CF27"/>
    <w:rsid w:val="7F5FE564"/>
    <w:rsid w:val="7F6D40B6"/>
    <w:rsid w:val="7F7FE808"/>
    <w:rsid w:val="7FB5ADCA"/>
    <w:rsid w:val="7FC79D81"/>
    <w:rsid w:val="7FCF6503"/>
    <w:rsid w:val="7FED003D"/>
    <w:rsid w:val="7FF1E206"/>
    <w:rsid w:val="7FF20183"/>
    <w:rsid w:val="7FF47545"/>
    <w:rsid w:val="7FF701E4"/>
    <w:rsid w:val="7FFB0983"/>
    <w:rsid w:val="7FFEE0E4"/>
    <w:rsid w:val="87BAA802"/>
    <w:rsid w:val="95B7F00A"/>
    <w:rsid w:val="97BBAAE3"/>
    <w:rsid w:val="9CAB62B0"/>
    <w:rsid w:val="9F9E0943"/>
    <w:rsid w:val="9FAFD866"/>
    <w:rsid w:val="9FD7E050"/>
    <w:rsid w:val="A5DFCAFD"/>
    <w:rsid w:val="A9EB1F84"/>
    <w:rsid w:val="AEF52526"/>
    <w:rsid w:val="AFFFA0EE"/>
    <w:rsid w:val="B277C33A"/>
    <w:rsid w:val="B5FD8F39"/>
    <w:rsid w:val="BA3AD7B1"/>
    <w:rsid w:val="BBAB4FC5"/>
    <w:rsid w:val="BBBF3108"/>
    <w:rsid w:val="BBD450CA"/>
    <w:rsid w:val="BBDBFD38"/>
    <w:rsid w:val="BBDF54A9"/>
    <w:rsid w:val="BBE71179"/>
    <w:rsid w:val="BEBFE1E7"/>
    <w:rsid w:val="BEE72D0B"/>
    <w:rsid w:val="BEEF9F90"/>
    <w:rsid w:val="BEF77C50"/>
    <w:rsid w:val="BFB34950"/>
    <w:rsid w:val="BFEB6C7F"/>
    <w:rsid w:val="BFF61130"/>
    <w:rsid w:val="BFFFEE2D"/>
    <w:rsid w:val="C7B48CE0"/>
    <w:rsid w:val="C8BB6216"/>
    <w:rsid w:val="CDD722FD"/>
    <w:rsid w:val="CF8FF49A"/>
    <w:rsid w:val="CFBBE57F"/>
    <w:rsid w:val="D5FF5813"/>
    <w:rsid w:val="D7FF1118"/>
    <w:rsid w:val="DAD7CDA3"/>
    <w:rsid w:val="DB7AEB1F"/>
    <w:rsid w:val="DB9BA597"/>
    <w:rsid w:val="DBF7478C"/>
    <w:rsid w:val="DEBFCC5C"/>
    <w:rsid w:val="DFBE7941"/>
    <w:rsid w:val="DFBFCFD4"/>
    <w:rsid w:val="DFDB42CF"/>
    <w:rsid w:val="DFEFF18C"/>
    <w:rsid w:val="E277C1DB"/>
    <w:rsid w:val="E5BE8415"/>
    <w:rsid w:val="E7D45D95"/>
    <w:rsid w:val="E7EF239F"/>
    <w:rsid w:val="EB3DB839"/>
    <w:rsid w:val="ECA3AAE6"/>
    <w:rsid w:val="ECBF7D9D"/>
    <w:rsid w:val="EEF900F2"/>
    <w:rsid w:val="EEFB6BA5"/>
    <w:rsid w:val="EF7D7F58"/>
    <w:rsid w:val="EFF2D859"/>
    <w:rsid w:val="EFFFA199"/>
    <w:rsid w:val="F2AE4F11"/>
    <w:rsid w:val="F2B41BE0"/>
    <w:rsid w:val="F3750CE9"/>
    <w:rsid w:val="F3B605F3"/>
    <w:rsid w:val="F4EE1087"/>
    <w:rsid w:val="F5BBB9DD"/>
    <w:rsid w:val="F5F0A31B"/>
    <w:rsid w:val="F73552B2"/>
    <w:rsid w:val="F7773988"/>
    <w:rsid w:val="F7DD63B4"/>
    <w:rsid w:val="F7E53080"/>
    <w:rsid w:val="F88FE4F7"/>
    <w:rsid w:val="F96F8F7D"/>
    <w:rsid w:val="FAA2603F"/>
    <w:rsid w:val="FAF330B5"/>
    <w:rsid w:val="FB614ECF"/>
    <w:rsid w:val="FBBF7307"/>
    <w:rsid w:val="FBFEB3B9"/>
    <w:rsid w:val="FCF1061C"/>
    <w:rsid w:val="FD73812A"/>
    <w:rsid w:val="FDEF93BF"/>
    <w:rsid w:val="FDFE8EFD"/>
    <w:rsid w:val="FDFF858B"/>
    <w:rsid w:val="FEFAD02D"/>
    <w:rsid w:val="FEFDCC1A"/>
    <w:rsid w:val="FEFE1A3A"/>
    <w:rsid w:val="FF1F2490"/>
    <w:rsid w:val="FF3F38BB"/>
    <w:rsid w:val="FF5CCB8E"/>
    <w:rsid w:val="FF654091"/>
    <w:rsid w:val="FF6F8322"/>
    <w:rsid w:val="FF6F9477"/>
    <w:rsid w:val="FFBF194D"/>
    <w:rsid w:val="FFDF1A90"/>
    <w:rsid w:val="FFDF7AF8"/>
    <w:rsid w:val="FFEBD1B0"/>
    <w:rsid w:val="FFEF96FA"/>
    <w:rsid w:val="FFF0C3FE"/>
    <w:rsid w:val="FFF3B046"/>
    <w:rsid w:val="FFF7444F"/>
    <w:rsid w:val="FFFDD8F4"/>
    <w:rsid w:val="FFFEA3E8"/>
    <w:rsid w:val="FFFF6B7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9"/>
    <w:qFormat/>
    <w:uiPriority w:val="0"/>
    <w:pPr>
      <w:keepNext/>
      <w:keepLines/>
      <w:numPr>
        <w:ilvl w:val="0"/>
        <w:numId w:val="1"/>
      </w:numPr>
      <w:spacing w:before="260" w:beforeLines="0" w:beforeAutospacing="0" w:after="260" w:afterLines="0" w:afterAutospacing="0" w:line="413" w:lineRule="auto"/>
      <w:outlineLvl w:val="2"/>
    </w:pPr>
    <w:rPr>
      <w:rFonts w:eastAsia="黑体"/>
      <w:kern w:val="0"/>
      <w:sz w:val="32"/>
      <w:szCs w:val="22"/>
    </w:rPr>
  </w:style>
  <w:style w:type="character" w:default="1" w:styleId="8">
    <w:name w:val="Default Paragraph Font"/>
    <w:uiPriority w:val="0"/>
  </w:style>
  <w:style w:type="table" w:default="1" w:styleId="7">
    <w:name w:val="Normal Table"/>
    <w:unhideWhenUsed/>
    <w:uiPriority w:val="99"/>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footer"/>
    <w:basedOn w:val="1"/>
    <w:link w:val="10"/>
    <w:qFormat/>
    <w:uiPriority w:val="0"/>
    <w:pPr>
      <w:tabs>
        <w:tab w:val="center" w:pos="4153"/>
        <w:tab w:val="right" w:pos="8306"/>
      </w:tabs>
      <w:snapToGrid w:val="0"/>
      <w:spacing w:line="240" w:lineRule="auto"/>
      <w:jc w:val="left"/>
    </w:pPr>
    <w:rPr>
      <w:kern w:val="2"/>
      <w:sz w:val="18"/>
      <w:szCs w:val="18"/>
    </w:rPr>
  </w:style>
  <w:style w:type="paragraph" w:styleId="5">
    <w:name w:val="header"/>
    <w:basedOn w:val="1"/>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6">
    <w:name w:val="Normal (Web)"/>
    <w:basedOn w:val="1"/>
    <w:uiPriority w:val="0"/>
    <w:pPr>
      <w:spacing w:before="100" w:beforeLines="0" w:beforeAutospacing="1" w:after="100" w:afterLines="0" w:afterAutospacing="1"/>
      <w:jc w:val="left"/>
    </w:pPr>
    <w:rPr>
      <w:kern w:val="0"/>
      <w:sz w:val="24"/>
    </w:rPr>
  </w:style>
  <w:style w:type="character" w:customStyle="1" w:styleId="9">
    <w:name w:val="标题 3 Char"/>
    <w:link w:val="2"/>
    <w:qFormat/>
    <w:uiPriority w:val="0"/>
    <w:rPr>
      <w:rFonts w:ascii="Calibri" w:hAnsi="Calibri" w:eastAsia="黑体" w:cs="Times New Roman"/>
      <w:sz w:val="32"/>
      <w:szCs w:val="22"/>
    </w:rPr>
  </w:style>
  <w:style w:type="character" w:customStyle="1" w:styleId="10">
    <w:name w:val="页脚 Char"/>
    <w:basedOn w:val="8"/>
    <w:link w:val="4"/>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13</Pages>
  <Words>4909</Words>
  <Characters>4985</Characters>
  <Lines>33</Lines>
  <Paragraphs>9</Paragraphs>
  <TotalTime>13</TotalTime>
  <ScaleCrop>false</ScaleCrop>
  <LinksUpToDate>false</LinksUpToDate>
  <CharactersWithSpaces>5062</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2023-04-30T02:01:00Z</dcterms:created>
  <dc:creator>韩慧</dc:creator>
  <cp:lastModifiedBy>DELL</cp:lastModifiedBy>
  <cp:lastPrinted>2026-09-11T09:42:00Z</cp:lastPrinted>
  <dcterms:modified xsi:type="dcterms:W3CDTF">2026-09-11T07:18:47Z</dcterms:modified>
  <dc:title>国家烟草专卖局办公室文件</dc:title>
  <cp:revision>160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8757480F3418C0EC6E699E6AFA112A38_43</vt:lpwstr>
  </property>
</Properties>
</file>