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480" w:lineRule="exact"/>
        <w:jc w:val="center"/>
        <w:rPr>
          <w:rFonts w:hint="eastAsia" w:ascii="黑体" w:hAnsi="黑体" w:eastAsia="黑体" w:cs="黑体"/>
          <w:sz w:val="44"/>
          <w:szCs w:val="44"/>
          <w:lang w:eastAsia="zh-CN"/>
        </w:rPr>
      </w:pPr>
      <w:r>
        <w:rPr>
          <w:rFonts w:hint="eastAsia" w:ascii="黑体" w:hAnsi="黑体" w:eastAsia="黑体" w:cs="黑体"/>
          <w:sz w:val="44"/>
          <w:szCs w:val="44"/>
          <w:lang w:eastAsia="zh-CN"/>
        </w:rPr>
        <w:t>石家庄市新华区数据和政务服务局</w:t>
      </w:r>
    </w:p>
    <w:p>
      <w:pPr>
        <w:spacing w:line="480" w:lineRule="exact"/>
        <w:jc w:val="center"/>
        <w:rPr>
          <w:rFonts w:hint="eastAsia" w:ascii="黑体" w:hAnsi="黑体" w:eastAsia="黑体" w:cs="黑体"/>
          <w:sz w:val="44"/>
          <w:szCs w:val="44"/>
          <w:lang w:val="en-US" w:eastAsia="zh-CN"/>
        </w:rPr>
      </w:pPr>
      <w:r>
        <w:rPr>
          <w:rFonts w:hint="eastAsia" w:ascii="黑体" w:hAnsi="黑体" w:eastAsia="黑体" w:cs="黑体"/>
          <w:sz w:val="44"/>
          <w:szCs w:val="44"/>
          <w:lang w:eastAsia="zh-CN"/>
        </w:rPr>
        <w:t>关于石家庄市新华区东焦街道办事处社区卫生服务中心搬迁项目</w:t>
      </w:r>
    </w:p>
    <w:p>
      <w:pPr>
        <w:spacing w:line="480" w:lineRule="exact"/>
        <w:jc w:val="center"/>
        <w:rPr>
          <w:rFonts w:hint="eastAsia" w:ascii="黑体" w:hAnsi="黑体" w:eastAsia="黑体" w:cs="黑体"/>
          <w:sz w:val="44"/>
          <w:szCs w:val="44"/>
          <w:lang w:eastAsia="zh-CN"/>
        </w:rPr>
      </w:pPr>
      <w:r>
        <w:rPr>
          <w:rFonts w:hint="eastAsia" w:ascii="黑体" w:hAnsi="黑体" w:eastAsia="黑体" w:cs="黑体"/>
          <w:sz w:val="44"/>
          <w:szCs w:val="44"/>
          <w:lang w:eastAsia="zh-CN"/>
        </w:rPr>
        <w:t>建设项目生态环境影响报告</w:t>
      </w:r>
      <w:r>
        <w:rPr>
          <w:rFonts w:hint="eastAsia" w:ascii="黑体" w:hAnsi="黑体" w:eastAsia="黑体" w:cs="黑体"/>
          <w:sz w:val="44"/>
          <w:szCs w:val="44"/>
          <w:lang w:val="en-US" w:eastAsia="zh-CN"/>
        </w:rPr>
        <w:t>表</w:t>
      </w:r>
      <w:r>
        <w:rPr>
          <w:rFonts w:hint="eastAsia" w:ascii="黑体" w:hAnsi="黑体" w:eastAsia="黑体" w:cs="黑体"/>
          <w:sz w:val="44"/>
          <w:szCs w:val="44"/>
          <w:lang w:eastAsia="zh-CN"/>
        </w:rPr>
        <w:t>的批复决定的公示</w:t>
      </w:r>
    </w:p>
    <w:p>
      <w:pPr>
        <w:pStyle w:val="7"/>
        <w:spacing w:before="0" w:beforeAutospacing="0" w:after="0" w:afterAutospacing="0" w:line="420" w:lineRule="atLeast"/>
        <w:ind w:firstLine="480" w:firstLineChars="200"/>
      </w:pPr>
      <w:r>
        <w:rPr>
          <w:shd w:val="clear" w:color="auto" w:fill="FFFFFF"/>
        </w:rPr>
        <w:t>根据建设项目</w:t>
      </w:r>
      <w:r>
        <w:rPr>
          <w:rFonts w:hint="eastAsia"/>
          <w:shd w:val="clear" w:color="auto" w:fill="FFFFFF"/>
          <w:lang w:eastAsia="zh-CN"/>
        </w:rPr>
        <w:t>生态</w:t>
      </w:r>
      <w:bookmarkStart w:id="2" w:name="_GoBack"/>
      <w:bookmarkEnd w:id="2"/>
      <w:r>
        <w:rPr>
          <w:shd w:val="clear" w:color="auto" w:fill="FFFFFF"/>
        </w:rPr>
        <w:t>环境影响评价审批程序的有关规定，经审议，我局已经对该项目做出审批决定。现将审批决定情况公开。</w:t>
      </w:r>
    </w:p>
    <w:p>
      <w:pPr>
        <w:pStyle w:val="7"/>
        <w:spacing w:before="0" w:beforeAutospacing="0" w:after="0" w:afterAutospacing="0" w:line="420" w:lineRule="atLeast"/>
        <w:ind w:firstLine="420"/>
      </w:pPr>
      <w:r>
        <w:rPr>
          <w:shd w:val="clear" w:color="auto" w:fill="FFFFFF"/>
        </w:rPr>
        <w:t>公告期限：自本公告发布之日起5个工作日。</w:t>
      </w:r>
    </w:p>
    <w:p>
      <w:pPr>
        <w:pStyle w:val="7"/>
        <w:spacing w:before="0" w:beforeAutospacing="0" w:after="0" w:afterAutospacing="0" w:line="420" w:lineRule="atLeast"/>
      </w:pPr>
      <w:r>
        <w:rPr>
          <w:rFonts w:hint="eastAsia" w:cs="宋体"/>
          <w:szCs w:val="24"/>
        </w:rPr>
        <w:t>石家庄市新华区</w:t>
      </w:r>
      <w:r>
        <w:rPr>
          <w:rFonts w:hint="eastAsia" w:cs="宋体"/>
          <w:szCs w:val="24"/>
          <w:lang w:val="en-US" w:eastAsia="zh-CN"/>
        </w:rPr>
        <w:t>数据和政务服务</w:t>
      </w:r>
      <w:r>
        <w:rPr>
          <w:rFonts w:hint="eastAsia" w:cs="宋体"/>
          <w:szCs w:val="24"/>
        </w:rPr>
        <w:t xml:space="preserve">局联系电话：0311-86270105 </w:t>
      </w:r>
      <w:r>
        <w:rPr>
          <w:rFonts w:hint="eastAsia" w:cs="宋体"/>
          <w:szCs w:val="24"/>
          <w:lang w:val="en-US" w:eastAsia="zh-CN"/>
        </w:rPr>
        <w:t xml:space="preserve"> </w:t>
      </w:r>
      <w:r>
        <w:rPr>
          <w:rFonts w:hint="eastAsia" w:cs="宋体"/>
          <w:szCs w:val="24"/>
        </w:rPr>
        <w:t>0311-86271625</w:t>
      </w:r>
    </w:p>
    <w:p>
      <w:pPr>
        <w:pStyle w:val="7"/>
        <w:spacing w:before="0" w:beforeAutospacing="0" w:after="0" w:afterAutospacing="0" w:line="420" w:lineRule="atLeast"/>
        <w:ind w:firstLine="420"/>
      </w:pPr>
      <w:r>
        <w:rPr>
          <w:rFonts w:hint="eastAsia" w:cs="宋体"/>
          <w:szCs w:val="24"/>
        </w:rPr>
        <w:t>电子邮箱：</w:t>
      </w:r>
      <w:r>
        <w:rPr>
          <w:rFonts w:hint="eastAsia" w:cs="宋体"/>
          <w:szCs w:val="24"/>
          <w:lang w:val="en-US" w:eastAsia="zh-CN"/>
        </w:rPr>
        <w:t>spjxmjsk1@1</w:t>
      </w:r>
      <w:r>
        <w:rPr>
          <w:rFonts w:hint="eastAsia" w:cs="宋体"/>
          <w:szCs w:val="24"/>
        </w:rPr>
        <w:t>6</w:t>
      </w:r>
      <w:r>
        <w:rPr>
          <w:rFonts w:hint="eastAsia" w:cs="宋体"/>
          <w:szCs w:val="24"/>
          <w:lang w:val="en-US" w:eastAsia="zh-CN"/>
        </w:rPr>
        <w:t>3</w:t>
      </w:r>
      <w:r>
        <w:rPr>
          <w:rFonts w:hint="eastAsia" w:cs="宋体"/>
          <w:szCs w:val="24"/>
        </w:rPr>
        <w:t>.com　</w:t>
      </w:r>
    </w:p>
    <w:p>
      <w:pPr>
        <w:pStyle w:val="7"/>
        <w:spacing w:before="0" w:beforeAutospacing="0" w:after="0" w:afterAutospacing="0" w:line="420" w:lineRule="atLeast"/>
        <w:ind w:firstLine="420"/>
      </w:pPr>
      <w:r>
        <w:rPr>
          <w:rFonts w:hint="eastAsia" w:cs="宋体"/>
          <w:szCs w:val="24"/>
        </w:rPr>
        <w:t>地址：新华区康乐街1号</w:t>
      </w:r>
    </w:p>
    <w:p>
      <w:pPr>
        <w:ind w:firstLine="480" w:firstLineChars="200"/>
        <w:rPr>
          <w:rStyle w:val="10"/>
        </w:rPr>
      </w:pPr>
      <w:r>
        <w:rPr>
          <w:rFonts w:hint="eastAsia" w:ascii="宋体" w:hAnsi="宋体" w:cs="宋体"/>
          <w:sz w:val="24"/>
        </w:rPr>
        <w:t>邮编：</w:t>
      </w:r>
      <w:r>
        <w:rPr>
          <w:rFonts w:ascii="Calibri" w:hAnsi="Calibri" w:cs="Calibri"/>
          <w:sz w:val="24"/>
        </w:rPr>
        <w:t>0500</w:t>
      </w:r>
      <w:r>
        <w:rPr>
          <w:rFonts w:hint="eastAsia" w:ascii="宋体" w:hAnsi="宋体" w:cs="宋体"/>
          <w:sz w:val="24"/>
        </w:rPr>
        <w:t>00</w:t>
      </w:r>
    </w:p>
    <w:p>
      <w:pPr>
        <w:pStyle w:val="7"/>
        <w:spacing w:before="0" w:beforeAutospacing="0" w:after="0" w:afterAutospacing="0" w:line="420" w:lineRule="atLeast"/>
        <w:ind w:firstLine="420"/>
      </w:pPr>
      <w:r>
        <w:rPr>
          <w:shd w:val="clear" w:color="auto" w:fill="FFFFFF"/>
        </w:rPr>
        <w:t>行政复议与行政诉讼权利告知：公民、法人或者其他组织认为公告的环境影响评价批复或建设项目竣工环境保护验收决定侵犯其合法权益的，可以自公告期限届满之日起六十日内提起行政复议，也可以自公告期限届满之日起三个月内提起行政诉讼。</w:t>
      </w:r>
    </w:p>
    <w:p>
      <w:pPr>
        <w:jc w:val="center"/>
        <w:rPr>
          <w:rFonts w:eastAsia="黑体"/>
          <w:b/>
          <w:bCs/>
          <w:sz w:val="44"/>
          <w:szCs w:val="30"/>
        </w:rPr>
      </w:pPr>
    </w:p>
    <w:p>
      <w:pPr>
        <w:pStyle w:val="11"/>
      </w:pPr>
    </w:p>
    <w:p>
      <w:pPr>
        <w:rPr>
          <w:rFonts w:eastAsia="黑体"/>
          <w:b/>
          <w:bCs/>
          <w:spacing w:val="-23"/>
          <w:sz w:val="44"/>
          <w:szCs w:val="30"/>
        </w:rPr>
      </w:pPr>
    </w:p>
    <w:p>
      <w:pPr>
        <w:pStyle w:val="14"/>
        <w:ind w:firstLine="560"/>
      </w:pPr>
    </w:p>
    <w:p>
      <w:pPr>
        <w:pStyle w:val="14"/>
        <w:ind w:firstLine="560"/>
      </w:pPr>
    </w:p>
    <w:p>
      <w:pPr>
        <w:pStyle w:val="14"/>
        <w:ind w:firstLine="560"/>
      </w:pPr>
    </w:p>
    <w:p>
      <w:pPr>
        <w:pStyle w:val="14"/>
        <w:ind w:firstLine="560"/>
      </w:pPr>
    </w:p>
    <w:p>
      <w:pPr>
        <w:pStyle w:val="14"/>
        <w:ind w:firstLine="560"/>
      </w:pPr>
    </w:p>
    <w:p>
      <w:pPr>
        <w:pStyle w:val="14"/>
        <w:ind w:firstLine="560"/>
      </w:pPr>
    </w:p>
    <w:p/>
    <w:p>
      <w:pPr>
        <w:rPr>
          <w:rFonts w:hint="eastAsia"/>
          <w:color w:val="000000"/>
          <w:sz w:val="36"/>
          <w:szCs w:val="36"/>
        </w:rPr>
      </w:pPr>
    </w:p>
    <w:p>
      <w:pPr>
        <w:spacing w:line="480" w:lineRule="exact"/>
        <w:jc w:val="center"/>
        <w:rPr>
          <w:rStyle w:val="10"/>
          <w:rFonts w:hint="eastAsia" w:ascii="方正小标宋简体" w:hAnsi="方正小标宋简体" w:eastAsia="方正小标宋简体" w:cs="方正小标宋简体"/>
          <w:b w:val="0"/>
          <w:color w:val="auto"/>
          <w:sz w:val="44"/>
          <w:szCs w:val="44"/>
          <w:lang w:eastAsia="zh-CN"/>
        </w:rPr>
      </w:pPr>
    </w:p>
    <w:p>
      <w:pPr>
        <w:spacing w:line="480" w:lineRule="exact"/>
        <w:jc w:val="center"/>
        <w:rPr>
          <w:rStyle w:val="10"/>
          <w:rFonts w:hint="eastAsia" w:ascii="方正小标宋简体" w:hAnsi="方正小标宋简体" w:eastAsia="方正小标宋简体" w:cs="方正小标宋简体"/>
          <w:b w:val="0"/>
          <w:color w:val="auto"/>
          <w:sz w:val="44"/>
          <w:szCs w:val="44"/>
        </w:rPr>
      </w:pPr>
      <w:r>
        <w:rPr>
          <w:rStyle w:val="10"/>
          <w:rFonts w:hint="eastAsia" w:ascii="方正小标宋简体" w:hAnsi="方正小标宋简体" w:eastAsia="方正小标宋简体" w:cs="方正小标宋简体"/>
          <w:b w:val="0"/>
          <w:color w:val="auto"/>
          <w:sz w:val="44"/>
          <w:szCs w:val="44"/>
          <w:lang w:eastAsia="zh-CN"/>
        </w:rPr>
        <w:t>石家庄市</w:t>
      </w:r>
      <w:r>
        <w:rPr>
          <w:rStyle w:val="10"/>
          <w:rFonts w:hint="eastAsia" w:ascii="方正小标宋简体" w:hAnsi="方正小标宋简体" w:eastAsia="方正小标宋简体" w:cs="方正小标宋简体"/>
          <w:b w:val="0"/>
          <w:color w:val="auto"/>
          <w:sz w:val="44"/>
          <w:szCs w:val="44"/>
        </w:rPr>
        <w:t>新华区</w:t>
      </w:r>
      <w:r>
        <w:rPr>
          <w:rStyle w:val="10"/>
          <w:rFonts w:hint="eastAsia" w:ascii="方正小标宋简体" w:hAnsi="方正小标宋简体" w:eastAsia="方正小标宋简体" w:cs="方正小标宋简体"/>
          <w:b w:val="0"/>
          <w:color w:val="auto"/>
          <w:sz w:val="44"/>
          <w:szCs w:val="44"/>
          <w:lang w:eastAsia="zh-CN"/>
        </w:rPr>
        <w:t>数据和政务服务</w:t>
      </w:r>
      <w:r>
        <w:rPr>
          <w:rStyle w:val="10"/>
          <w:rFonts w:hint="eastAsia" w:ascii="方正小标宋简体" w:hAnsi="方正小标宋简体" w:eastAsia="方正小标宋简体" w:cs="方正小标宋简体"/>
          <w:b w:val="0"/>
          <w:color w:val="auto"/>
          <w:sz w:val="44"/>
          <w:szCs w:val="44"/>
        </w:rPr>
        <w:t>局</w:t>
      </w:r>
    </w:p>
    <w:p>
      <w:pPr>
        <w:spacing w:line="480" w:lineRule="exact"/>
        <w:jc w:val="center"/>
        <w:rPr>
          <w:rFonts w:hint="eastAsia" w:ascii="方正小标宋简体" w:hAnsi="方正小标宋简体" w:eastAsia="方正小标宋简体" w:cs="方正小标宋简体"/>
          <w:sz w:val="44"/>
          <w:szCs w:val="44"/>
          <w:lang w:val="en-US" w:eastAsia="zh-CN"/>
        </w:rPr>
      </w:pPr>
      <w:r>
        <w:rPr>
          <w:rStyle w:val="10"/>
          <w:rFonts w:hint="eastAsia" w:ascii="方正小标宋简体" w:hAnsi="方正小标宋简体" w:eastAsia="方正小标宋简体" w:cs="方正小标宋简体"/>
          <w:b w:val="0"/>
          <w:color w:val="auto"/>
          <w:sz w:val="44"/>
          <w:szCs w:val="44"/>
        </w:rPr>
        <w:t>关于</w:t>
      </w:r>
      <w:r>
        <w:rPr>
          <w:rFonts w:hint="eastAsia" w:ascii="方正小标宋简体" w:hAnsi="方正小标宋简体" w:eastAsia="方正小标宋简体" w:cs="方正小标宋简体"/>
          <w:sz w:val="44"/>
          <w:szCs w:val="44"/>
          <w:lang w:eastAsia="zh-CN"/>
        </w:rPr>
        <w:t>石家庄</w:t>
      </w:r>
      <w:r>
        <w:rPr>
          <w:rFonts w:hint="eastAsia" w:ascii="方正小标宋简体" w:hAnsi="方正小标宋简体" w:eastAsia="方正小标宋简体" w:cs="方正小标宋简体"/>
          <w:sz w:val="44"/>
          <w:szCs w:val="44"/>
          <w:lang w:val="en-US" w:eastAsia="zh-CN"/>
        </w:rPr>
        <w:t>市新华区东焦街道办事处社区卫生服务中心搬迁项目</w:t>
      </w:r>
    </w:p>
    <w:p>
      <w:pPr>
        <w:spacing w:line="480" w:lineRule="exact"/>
        <w:jc w:val="center"/>
        <w:rPr>
          <w:rFonts w:hint="eastAsia"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lang w:eastAsia="zh-CN"/>
        </w:rPr>
        <w:t>建设</w:t>
      </w:r>
      <w:r>
        <w:rPr>
          <w:rFonts w:hint="eastAsia" w:ascii="方正小标宋简体" w:hAnsi="方正小标宋简体" w:eastAsia="方正小标宋简体" w:cs="方正小标宋简体"/>
          <w:sz w:val="44"/>
          <w:szCs w:val="44"/>
        </w:rPr>
        <w:t>项目</w:t>
      </w:r>
      <w:r>
        <w:rPr>
          <w:rFonts w:hint="eastAsia" w:ascii="方正小标宋简体" w:hAnsi="方正小标宋简体" w:eastAsia="方正小标宋简体" w:cs="方正小标宋简体"/>
          <w:sz w:val="44"/>
          <w:szCs w:val="44"/>
          <w:lang w:eastAsia="zh-CN"/>
        </w:rPr>
        <w:t>生态</w:t>
      </w:r>
      <w:r>
        <w:rPr>
          <w:rStyle w:val="10"/>
          <w:rFonts w:hint="eastAsia" w:ascii="方正小标宋简体" w:hAnsi="方正小标宋简体" w:eastAsia="方正小标宋简体" w:cs="方正小标宋简体"/>
          <w:b w:val="0"/>
          <w:color w:val="auto"/>
          <w:sz w:val="44"/>
          <w:szCs w:val="44"/>
        </w:rPr>
        <w:t>环境影响报告</w:t>
      </w:r>
      <w:r>
        <w:rPr>
          <w:rStyle w:val="10"/>
          <w:rFonts w:hint="eastAsia" w:ascii="方正小标宋简体" w:hAnsi="方正小标宋简体" w:eastAsia="方正小标宋简体" w:cs="方正小标宋简体"/>
          <w:b w:val="0"/>
          <w:color w:val="auto"/>
          <w:sz w:val="44"/>
          <w:szCs w:val="44"/>
          <w:lang w:val="en-US" w:eastAsia="zh-CN"/>
        </w:rPr>
        <w:t>表</w:t>
      </w:r>
      <w:r>
        <w:rPr>
          <w:rStyle w:val="10"/>
          <w:rFonts w:hint="eastAsia" w:ascii="方正小标宋简体" w:hAnsi="方正小标宋简体" w:eastAsia="方正小标宋简体" w:cs="方正小标宋简体"/>
          <w:b w:val="0"/>
          <w:color w:val="auto"/>
          <w:sz w:val="44"/>
          <w:szCs w:val="44"/>
        </w:rPr>
        <w:t>的</w:t>
      </w:r>
      <w:r>
        <w:rPr>
          <w:rFonts w:hint="eastAsia" w:ascii="方正小标宋简体" w:hAnsi="方正小标宋简体" w:eastAsia="方正小标宋简体" w:cs="方正小标宋简体"/>
          <w:bCs/>
          <w:spacing w:val="15"/>
          <w:kern w:val="0"/>
          <w:sz w:val="44"/>
          <w:szCs w:val="44"/>
          <w:lang w:bidi="ar"/>
        </w:rPr>
        <w:t>批复</w:t>
      </w:r>
    </w:p>
    <w:p>
      <w:pPr>
        <w:spacing w:line="480" w:lineRule="exact"/>
        <w:ind w:firstLine="4500" w:firstLineChars="1500"/>
        <w:jc w:val="left"/>
        <w:rPr>
          <w:rFonts w:hint="eastAsia" w:ascii="仿宋" w:hAnsi="仿宋" w:eastAsia="仿宋" w:cs="仿宋"/>
          <w:sz w:val="30"/>
          <w:szCs w:val="30"/>
        </w:rPr>
      </w:pPr>
      <w:r>
        <w:rPr>
          <w:rFonts w:hint="eastAsia" w:ascii="仿宋" w:hAnsi="仿宋" w:eastAsia="仿宋" w:cs="仿宋"/>
          <w:sz w:val="30"/>
          <w:szCs w:val="30"/>
        </w:rPr>
        <w:t>石新</w:t>
      </w:r>
      <w:r>
        <w:rPr>
          <w:rFonts w:hint="eastAsia" w:ascii="仿宋" w:hAnsi="仿宋" w:eastAsia="仿宋" w:cs="仿宋"/>
          <w:sz w:val="30"/>
          <w:szCs w:val="30"/>
          <w:lang w:eastAsia="zh-CN"/>
        </w:rPr>
        <w:t>数政</w:t>
      </w:r>
      <w:r>
        <w:rPr>
          <w:rFonts w:hint="eastAsia" w:ascii="仿宋" w:hAnsi="仿宋" w:eastAsia="仿宋" w:cs="仿宋"/>
          <w:sz w:val="30"/>
          <w:szCs w:val="30"/>
        </w:rPr>
        <w:t>环评〔202</w:t>
      </w:r>
      <w:r>
        <w:rPr>
          <w:rFonts w:hint="eastAsia" w:ascii="仿宋" w:hAnsi="仿宋" w:eastAsia="仿宋" w:cs="仿宋"/>
          <w:sz w:val="30"/>
          <w:szCs w:val="30"/>
          <w:lang w:val="en-US" w:eastAsia="zh-CN"/>
        </w:rPr>
        <w:t>6</w:t>
      </w:r>
      <w:r>
        <w:rPr>
          <w:rFonts w:hint="eastAsia" w:ascii="仿宋" w:hAnsi="仿宋" w:eastAsia="仿宋" w:cs="仿宋"/>
          <w:sz w:val="30"/>
          <w:szCs w:val="30"/>
        </w:rPr>
        <w:t>〕</w:t>
      </w:r>
      <w:r>
        <w:rPr>
          <w:rFonts w:hint="eastAsia" w:ascii="仿宋" w:hAnsi="仿宋" w:eastAsia="仿宋" w:cs="仿宋"/>
          <w:sz w:val="30"/>
          <w:szCs w:val="30"/>
          <w:lang w:val="en-US" w:eastAsia="zh-CN"/>
        </w:rPr>
        <w:t xml:space="preserve">3 </w:t>
      </w:r>
      <w:r>
        <w:rPr>
          <w:rFonts w:hint="eastAsia" w:ascii="仿宋" w:hAnsi="仿宋" w:eastAsia="仿宋" w:cs="仿宋"/>
          <w:sz w:val="30"/>
          <w:szCs w:val="30"/>
        </w:rPr>
        <w:t>号</w:t>
      </w:r>
    </w:p>
    <w:p>
      <w:pPr>
        <w:spacing w:line="440" w:lineRule="exact"/>
        <w:rPr>
          <w:rFonts w:hint="eastAsia" w:ascii="仿宋" w:hAnsi="仿宋" w:eastAsia="仿宋" w:cs="仿宋"/>
          <w:sz w:val="32"/>
          <w:szCs w:val="32"/>
        </w:rPr>
      </w:pPr>
      <w:r>
        <w:rPr>
          <w:rFonts w:hint="eastAsia" w:ascii="仿宋" w:hAnsi="仿宋" w:eastAsia="仿宋" w:cs="仿宋"/>
          <w:sz w:val="32"/>
          <w:szCs w:val="32"/>
          <w:lang w:eastAsia="zh-CN"/>
        </w:rPr>
        <w:t>石家庄</w:t>
      </w:r>
      <w:r>
        <w:rPr>
          <w:rFonts w:hint="eastAsia" w:ascii="仿宋" w:hAnsi="仿宋" w:eastAsia="仿宋" w:cs="仿宋"/>
          <w:sz w:val="32"/>
          <w:szCs w:val="32"/>
          <w:lang w:val="en-US" w:eastAsia="zh-CN"/>
        </w:rPr>
        <w:t>市新华区东焦街道办事处社区服务中心</w:t>
      </w:r>
      <w:r>
        <w:rPr>
          <w:rFonts w:hint="eastAsia" w:ascii="仿宋" w:hAnsi="仿宋" w:eastAsia="仿宋" w:cs="仿宋"/>
          <w:sz w:val="32"/>
          <w:szCs w:val="32"/>
        </w:rPr>
        <w:t>：</w:t>
      </w:r>
    </w:p>
    <w:p>
      <w:pPr>
        <w:widowControl/>
        <w:autoSpaceDE w:val="0"/>
        <w:snapToGrid w:val="0"/>
        <w:spacing w:line="440" w:lineRule="exact"/>
        <w:ind w:firstLine="640"/>
        <w:jc w:val="left"/>
        <w:rPr>
          <w:rFonts w:hint="eastAsia" w:ascii="仿宋" w:hAnsi="仿宋" w:eastAsia="仿宋" w:cs="仿宋"/>
          <w:kern w:val="0"/>
          <w:sz w:val="32"/>
          <w:szCs w:val="32"/>
          <w:lang w:bidi="ar"/>
        </w:rPr>
      </w:pPr>
      <w:r>
        <w:rPr>
          <w:rFonts w:hint="eastAsia" w:ascii="仿宋" w:hAnsi="仿宋" w:eastAsia="仿宋" w:cs="仿宋"/>
          <w:sz w:val="32"/>
          <w:szCs w:val="32"/>
        </w:rPr>
        <w:t>根据环评报告结论，从环保角度分析，经我局研究，符合《中华人民共和国</w:t>
      </w:r>
      <w:r>
        <w:rPr>
          <w:rFonts w:hint="eastAsia" w:ascii="仿宋" w:hAnsi="仿宋" w:eastAsia="仿宋" w:cs="仿宋"/>
          <w:sz w:val="32"/>
          <w:szCs w:val="32"/>
          <w:lang w:eastAsia="zh-CN"/>
        </w:rPr>
        <w:t>生态环境法典</w:t>
      </w:r>
      <w:r>
        <w:rPr>
          <w:rFonts w:hint="eastAsia" w:ascii="仿宋" w:hAnsi="仿宋" w:eastAsia="仿宋" w:cs="仿宋"/>
          <w:sz w:val="32"/>
          <w:szCs w:val="32"/>
        </w:rPr>
        <w:t>》和《建设项目环境保护管理条例》等相关规定，对你单位</w:t>
      </w:r>
      <w:r>
        <w:rPr>
          <w:rFonts w:hint="eastAsia" w:ascii="仿宋" w:hAnsi="仿宋" w:eastAsia="仿宋" w:cs="仿宋"/>
          <w:sz w:val="32"/>
          <w:szCs w:val="32"/>
          <w:lang w:eastAsia="zh-CN"/>
        </w:rPr>
        <w:t>石家庄</w:t>
      </w:r>
      <w:r>
        <w:rPr>
          <w:rFonts w:hint="eastAsia" w:ascii="仿宋" w:hAnsi="仿宋" w:eastAsia="仿宋" w:cs="仿宋"/>
          <w:sz w:val="32"/>
          <w:szCs w:val="32"/>
          <w:lang w:val="en-US" w:eastAsia="zh-CN"/>
        </w:rPr>
        <w:t>市新华区东焦街道办事处社区服务中心搬迁</w:t>
      </w:r>
      <w:r>
        <w:rPr>
          <w:rFonts w:hint="eastAsia" w:ascii="仿宋" w:hAnsi="仿宋" w:eastAsia="仿宋" w:cs="仿宋"/>
          <w:sz w:val="32"/>
          <w:szCs w:val="32"/>
        </w:rPr>
        <w:t>项目</w:t>
      </w:r>
      <w:r>
        <w:rPr>
          <w:rFonts w:hint="eastAsia" w:ascii="仿宋" w:hAnsi="仿宋" w:eastAsia="仿宋" w:cs="仿宋"/>
          <w:sz w:val="32"/>
          <w:szCs w:val="32"/>
          <w:lang w:eastAsia="zh-CN"/>
        </w:rPr>
        <w:t>生态</w:t>
      </w:r>
      <w:r>
        <w:rPr>
          <w:rFonts w:hint="eastAsia" w:ascii="仿宋" w:hAnsi="仿宋" w:eastAsia="仿宋" w:cs="仿宋"/>
          <w:kern w:val="0"/>
          <w:sz w:val="32"/>
          <w:szCs w:val="32"/>
          <w:lang w:bidi="ar"/>
        </w:rPr>
        <w:t>环境影响评价报告</w:t>
      </w:r>
      <w:r>
        <w:rPr>
          <w:rFonts w:hint="eastAsia" w:ascii="仿宋" w:hAnsi="仿宋" w:eastAsia="仿宋" w:cs="仿宋"/>
          <w:kern w:val="0"/>
          <w:sz w:val="32"/>
          <w:szCs w:val="32"/>
          <w:lang w:val="en-US" w:eastAsia="zh-CN" w:bidi="ar"/>
        </w:rPr>
        <w:t>表</w:t>
      </w:r>
      <w:r>
        <w:rPr>
          <w:rFonts w:hint="eastAsia" w:ascii="仿宋" w:hAnsi="仿宋" w:eastAsia="仿宋" w:cs="仿宋"/>
          <w:sz w:val="32"/>
          <w:szCs w:val="32"/>
        </w:rPr>
        <w:t>批</w:t>
      </w:r>
      <w:r>
        <w:rPr>
          <w:rFonts w:hint="eastAsia" w:ascii="仿宋" w:hAnsi="仿宋" w:eastAsia="仿宋" w:cs="仿宋"/>
          <w:kern w:val="0"/>
          <w:sz w:val="32"/>
          <w:szCs w:val="32"/>
          <w:lang w:bidi="ar"/>
        </w:rPr>
        <w:t>复如下：</w:t>
      </w:r>
    </w:p>
    <w:p>
      <w:pPr>
        <w:widowControl/>
        <w:autoSpaceDE w:val="0"/>
        <w:snapToGrid w:val="0"/>
        <w:spacing w:line="440" w:lineRule="exact"/>
        <w:ind w:firstLine="640"/>
        <w:jc w:val="left"/>
        <w:rPr>
          <w:rFonts w:hint="eastAsia" w:ascii="仿宋" w:hAnsi="仿宋" w:eastAsia="仿宋" w:cs="仿宋"/>
          <w:kern w:val="0"/>
          <w:sz w:val="32"/>
          <w:szCs w:val="32"/>
          <w:lang w:bidi="ar"/>
        </w:rPr>
      </w:pPr>
      <w:r>
        <w:rPr>
          <w:rFonts w:hint="eastAsia" w:ascii="仿宋" w:hAnsi="仿宋" w:eastAsia="仿宋" w:cs="仿宋"/>
          <w:kern w:val="0"/>
          <w:sz w:val="32"/>
          <w:szCs w:val="32"/>
          <w:lang w:eastAsia="zh-CN" w:bidi="ar"/>
        </w:rPr>
        <w:t>一、</w:t>
      </w:r>
      <w:r>
        <w:rPr>
          <w:rFonts w:hint="eastAsia" w:ascii="仿宋" w:hAnsi="仿宋" w:eastAsia="仿宋" w:cs="仿宋"/>
          <w:kern w:val="0"/>
          <w:sz w:val="32"/>
          <w:szCs w:val="32"/>
          <w:lang w:bidi="ar"/>
        </w:rPr>
        <w:t>项目概况：</w:t>
      </w:r>
    </w:p>
    <w:p>
      <w:pPr>
        <w:widowControl/>
        <w:autoSpaceDE w:val="0"/>
        <w:snapToGrid w:val="0"/>
        <w:spacing w:line="440" w:lineRule="exact"/>
        <w:ind w:firstLine="640"/>
        <w:jc w:val="left"/>
        <w:rPr>
          <w:rFonts w:hint="eastAsia" w:ascii="仿宋" w:hAnsi="仿宋" w:eastAsia="仿宋" w:cs="仿宋"/>
          <w:kern w:val="0"/>
          <w:sz w:val="32"/>
          <w:szCs w:val="32"/>
          <w:lang w:val="en-US" w:eastAsia="zh-CN" w:bidi="ar"/>
        </w:rPr>
      </w:pPr>
      <w:r>
        <w:rPr>
          <w:rFonts w:hint="eastAsia" w:ascii="仿宋" w:hAnsi="仿宋" w:eastAsia="仿宋" w:cs="仿宋"/>
          <w:kern w:val="0"/>
          <w:sz w:val="32"/>
          <w:szCs w:val="32"/>
          <w:lang w:val="en-US" w:eastAsia="zh-CN" w:bidi="ar"/>
        </w:rPr>
        <w:t>项目位于河北省石家庄市新华区中华北大街198号中储广场1号F座，租用河北鼎浩电子商务有限公司场地负一层至三层，项目总建筑面积</w:t>
      </w:r>
      <w:r>
        <w:rPr>
          <w:rFonts w:hint="eastAsia" w:ascii="仿宋" w:hAnsi="仿宋" w:eastAsia="仿宋" w:cs="仿宋"/>
          <w:color w:val="auto"/>
          <w:kern w:val="2"/>
          <w:sz w:val="32"/>
          <w:szCs w:val="32"/>
          <w:highlight w:val="none"/>
          <w:lang w:val="en-US" w:eastAsia="zh-CN"/>
        </w:rPr>
        <w:t>6340m</w:t>
      </w:r>
      <w:r>
        <w:rPr>
          <w:rFonts w:hint="eastAsia" w:ascii="仿宋" w:hAnsi="仿宋" w:eastAsia="仿宋" w:cs="仿宋"/>
          <w:color w:val="auto"/>
          <w:kern w:val="2"/>
          <w:sz w:val="32"/>
          <w:szCs w:val="32"/>
          <w:highlight w:val="none"/>
          <w:vertAlign w:val="superscript"/>
          <w:lang w:val="en-US" w:eastAsia="zh-CN"/>
        </w:rPr>
        <w:t>2</w:t>
      </w:r>
      <w:r>
        <w:rPr>
          <w:rFonts w:hint="eastAsia" w:ascii="仿宋" w:hAnsi="仿宋" w:eastAsia="仿宋" w:cs="仿宋"/>
          <w:color w:val="auto"/>
          <w:kern w:val="2"/>
          <w:sz w:val="32"/>
          <w:szCs w:val="32"/>
          <w:highlight w:val="none"/>
          <w:lang w:val="en-US" w:eastAsia="zh-CN"/>
        </w:rPr>
        <w:t>。</w:t>
      </w:r>
      <w:r>
        <w:rPr>
          <w:rFonts w:hint="eastAsia" w:ascii="仿宋" w:hAnsi="仿宋" w:eastAsia="仿宋" w:cs="仿宋"/>
          <w:kern w:val="0"/>
          <w:sz w:val="32"/>
          <w:szCs w:val="32"/>
          <w:lang w:val="en-US" w:eastAsia="zh-CN" w:bidi="ar"/>
        </w:rPr>
        <w:t>用于医疗服务，设置预防保健科、全科、内科、外科、妇产科、妇女保健科、儿科、儿童保健科、医学检验科、医学影像科、口腔科、康复医学科、中医科、中西医结合科、临终关怀科、药剂科、住院部与一体的社区卫生服务中心（站）等，设置住院床位30张，门诊量为650人次/天。项目劳动定员81人，工作制度为三班制，每班8小时，年工作365天。</w:t>
      </w:r>
    </w:p>
    <w:p>
      <w:pPr>
        <w:widowControl/>
        <w:autoSpaceDE w:val="0"/>
        <w:snapToGrid w:val="0"/>
        <w:spacing w:line="440" w:lineRule="exact"/>
        <w:ind w:firstLine="640"/>
        <w:jc w:val="left"/>
        <w:rPr>
          <w:rFonts w:hint="eastAsia" w:ascii="仿宋" w:hAnsi="仿宋" w:eastAsia="仿宋" w:cs="仿宋"/>
          <w:sz w:val="32"/>
          <w:szCs w:val="32"/>
        </w:rPr>
      </w:pPr>
      <w:r>
        <w:rPr>
          <w:rFonts w:hint="eastAsia" w:ascii="仿宋" w:hAnsi="仿宋" w:eastAsia="仿宋" w:cs="仿宋"/>
          <w:kern w:val="0"/>
          <w:sz w:val="32"/>
          <w:szCs w:val="32"/>
          <w:lang w:bidi="ar"/>
        </w:rPr>
        <w:t>工程投资：项目总</w:t>
      </w:r>
      <w:r>
        <w:rPr>
          <w:rFonts w:hint="eastAsia" w:ascii="仿宋" w:hAnsi="仿宋" w:eastAsia="仿宋" w:cs="仿宋"/>
          <w:sz w:val="32"/>
          <w:szCs w:val="32"/>
        </w:rPr>
        <w:t>投资</w:t>
      </w:r>
      <w:r>
        <w:rPr>
          <w:rFonts w:hint="eastAsia" w:ascii="仿宋" w:hAnsi="仿宋" w:eastAsia="仿宋" w:cs="仿宋"/>
          <w:sz w:val="32"/>
          <w:szCs w:val="32"/>
          <w:lang w:val="en-US" w:eastAsia="zh-CN"/>
        </w:rPr>
        <w:t>522.35</w:t>
      </w:r>
      <w:r>
        <w:rPr>
          <w:rFonts w:hint="eastAsia" w:ascii="仿宋" w:hAnsi="仿宋" w:eastAsia="仿宋" w:cs="仿宋"/>
          <w:sz w:val="32"/>
          <w:szCs w:val="32"/>
        </w:rPr>
        <w:t>万元，其中环保投资</w:t>
      </w:r>
      <w:r>
        <w:rPr>
          <w:rFonts w:hint="eastAsia" w:ascii="仿宋" w:hAnsi="仿宋" w:eastAsia="仿宋" w:cs="仿宋"/>
          <w:sz w:val="32"/>
          <w:szCs w:val="32"/>
          <w:lang w:val="en-US" w:eastAsia="zh-CN"/>
        </w:rPr>
        <w:t>50</w:t>
      </w:r>
      <w:r>
        <w:rPr>
          <w:rFonts w:hint="eastAsia" w:ascii="仿宋" w:hAnsi="仿宋" w:eastAsia="仿宋" w:cs="仿宋"/>
          <w:sz w:val="32"/>
          <w:szCs w:val="32"/>
        </w:rPr>
        <w:t>万元，环保投资占比</w:t>
      </w:r>
      <w:r>
        <w:rPr>
          <w:rFonts w:hint="eastAsia" w:ascii="仿宋" w:hAnsi="仿宋" w:eastAsia="仿宋" w:cs="仿宋"/>
          <w:sz w:val="32"/>
          <w:szCs w:val="32"/>
          <w:lang w:val="en-US" w:eastAsia="zh-CN"/>
        </w:rPr>
        <w:t>9.572</w:t>
      </w:r>
      <w:r>
        <w:rPr>
          <w:rFonts w:hint="eastAsia" w:ascii="仿宋" w:hAnsi="仿宋" w:eastAsia="仿宋" w:cs="仿宋"/>
          <w:sz w:val="32"/>
          <w:szCs w:val="32"/>
        </w:rPr>
        <w:t>%。</w:t>
      </w:r>
    </w:p>
    <w:p>
      <w:pPr>
        <w:widowControl/>
        <w:autoSpaceDE w:val="0"/>
        <w:spacing w:line="420" w:lineRule="exact"/>
        <w:ind w:firstLine="640" w:firstLineChars="200"/>
        <w:jc w:val="left"/>
        <w:rPr>
          <w:rFonts w:hint="eastAsia" w:ascii="仿宋" w:hAnsi="仿宋" w:eastAsia="仿宋" w:cs="仿宋"/>
          <w:sz w:val="32"/>
          <w:szCs w:val="32"/>
        </w:rPr>
      </w:pPr>
      <w:r>
        <w:rPr>
          <w:rFonts w:hint="eastAsia" w:ascii="仿宋" w:hAnsi="仿宋" w:eastAsia="仿宋" w:cs="仿宋"/>
          <w:kern w:val="0"/>
          <w:sz w:val="32"/>
          <w:szCs w:val="32"/>
          <w:shd w:val="clear" w:color="auto" w:fill="FFFFFF"/>
          <w:lang w:bidi="ar"/>
        </w:rPr>
        <w:t>二、主要环境影响及预防或者减轻不良环境影响的对策和措施:</w:t>
      </w:r>
    </w:p>
    <w:p>
      <w:pPr>
        <w:widowControl/>
        <w:autoSpaceDE w:val="0"/>
        <w:snapToGrid w:val="0"/>
        <w:spacing w:line="440" w:lineRule="exact"/>
        <w:ind w:firstLine="640"/>
        <w:jc w:val="left"/>
        <w:rPr>
          <w:rFonts w:hint="eastAsia" w:ascii="仿宋" w:hAnsi="仿宋" w:eastAsia="仿宋" w:cs="仿宋"/>
          <w:kern w:val="0"/>
          <w:sz w:val="32"/>
          <w:szCs w:val="32"/>
          <w:lang w:bidi="ar"/>
        </w:rPr>
      </w:pPr>
      <w:r>
        <w:rPr>
          <w:rFonts w:hint="eastAsia" w:ascii="仿宋" w:hAnsi="仿宋" w:eastAsia="仿宋" w:cs="仿宋"/>
          <w:kern w:val="0"/>
          <w:sz w:val="32"/>
          <w:szCs w:val="32"/>
          <w:lang w:bidi="ar"/>
        </w:rPr>
        <w:t>1、废气</w:t>
      </w:r>
    </w:p>
    <w:p>
      <w:pPr>
        <w:widowControl/>
        <w:autoSpaceDE w:val="0"/>
        <w:snapToGrid w:val="0"/>
        <w:spacing w:line="440" w:lineRule="exact"/>
        <w:ind w:firstLine="640"/>
        <w:jc w:val="left"/>
        <w:rPr>
          <w:rFonts w:hint="default" w:ascii="仿宋" w:hAnsi="仿宋" w:eastAsia="仿宋" w:cs="仿宋"/>
          <w:sz w:val="32"/>
          <w:szCs w:val="32"/>
          <w:lang w:val="en-US" w:eastAsia="zh-CN"/>
        </w:rPr>
      </w:pPr>
      <w:r>
        <w:rPr>
          <w:rFonts w:hint="eastAsia" w:ascii="仿宋" w:hAnsi="仿宋" w:eastAsia="仿宋" w:cs="仿宋"/>
          <w:sz w:val="32"/>
          <w:szCs w:val="32"/>
          <w:lang w:eastAsia="zh-CN"/>
        </w:rPr>
        <w:t>废气主要为污水处理站废气和中药煎药废气。污水处理站废气经活性炭吸附处理后引至室外排放，</w:t>
      </w:r>
      <w:bookmarkStart w:id="0" w:name="OLE_LINK1"/>
      <w:r>
        <w:rPr>
          <w:rFonts w:hint="eastAsia" w:ascii="仿宋" w:hAnsi="仿宋" w:eastAsia="仿宋" w:cs="仿宋"/>
          <w:sz w:val="32"/>
          <w:szCs w:val="32"/>
          <w:lang w:eastAsia="zh-CN"/>
        </w:rPr>
        <w:t>污水处理站周边</w:t>
      </w:r>
      <w:bookmarkStart w:id="1" w:name="OLE_LINK2"/>
      <w:r>
        <w:rPr>
          <w:rFonts w:hint="eastAsia" w:ascii="仿宋" w:hAnsi="仿宋" w:eastAsia="仿宋" w:cs="仿宋"/>
          <w:sz w:val="32"/>
          <w:szCs w:val="32"/>
          <w:lang w:eastAsia="zh-CN"/>
        </w:rPr>
        <w:t>氨、硫化氢、</w:t>
      </w:r>
      <w:bookmarkEnd w:id="1"/>
      <w:r>
        <w:rPr>
          <w:rFonts w:hint="eastAsia" w:ascii="仿宋" w:hAnsi="仿宋" w:eastAsia="仿宋" w:cs="仿宋"/>
          <w:sz w:val="32"/>
          <w:szCs w:val="32"/>
          <w:lang w:eastAsia="zh-CN"/>
        </w:rPr>
        <w:t>臭气浓度无组织排放须满足《医疗机构水污染物排放标准》（</w:t>
      </w:r>
      <w:r>
        <w:rPr>
          <w:rFonts w:hint="eastAsia" w:ascii="仿宋" w:hAnsi="仿宋" w:eastAsia="仿宋" w:cs="仿宋"/>
          <w:sz w:val="32"/>
          <w:szCs w:val="32"/>
          <w:lang w:val="en-US" w:eastAsia="zh-CN"/>
        </w:rPr>
        <w:t>GB18466-2005</w:t>
      </w:r>
      <w:r>
        <w:rPr>
          <w:rFonts w:hint="eastAsia" w:ascii="仿宋" w:hAnsi="仿宋" w:eastAsia="仿宋" w:cs="仿宋"/>
          <w:sz w:val="32"/>
          <w:szCs w:val="32"/>
          <w:lang w:eastAsia="zh-CN"/>
        </w:rPr>
        <w:t>）表</w:t>
      </w:r>
      <w:r>
        <w:rPr>
          <w:rFonts w:hint="eastAsia" w:ascii="仿宋" w:hAnsi="仿宋" w:eastAsia="仿宋" w:cs="仿宋"/>
          <w:sz w:val="32"/>
          <w:szCs w:val="32"/>
          <w:lang w:val="en-US" w:eastAsia="zh-CN"/>
        </w:rPr>
        <w:t>3标准要求。</w:t>
      </w:r>
      <w:bookmarkEnd w:id="0"/>
      <w:r>
        <w:rPr>
          <w:rFonts w:hint="eastAsia" w:ascii="仿宋" w:hAnsi="仿宋" w:eastAsia="仿宋" w:cs="仿宋"/>
          <w:sz w:val="32"/>
          <w:szCs w:val="32"/>
          <w:lang w:val="en-US" w:eastAsia="zh-CN"/>
        </w:rPr>
        <w:t>污水处理站厂界氨、硫化氢、臭气浓度无组织排放须均满足《恶臭污染物排放标准》（GB14554-93）表1中恶臭污染物厂界标准值中二级新改扩建标准要求。中药煎药废气经房间独立排风系统活性炭吸附处理后引至室外无组织排放，</w:t>
      </w:r>
      <w:r>
        <w:rPr>
          <w:rFonts w:hint="eastAsia" w:ascii="仿宋" w:hAnsi="仿宋" w:eastAsia="仿宋" w:cs="仿宋"/>
          <w:sz w:val="32"/>
          <w:szCs w:val="32"/>
          <w:lang w:eastAsia="zh-CN"/>
        </w:rPr>
        <w:t>氨、硫化氢、</w:t>
      </w:r>
      <w:r>
        <w:rPr>
          <w:rFonts w:hint="eastAsia" w:ascii="仿宋" w:hAnsi="仿宋" w:eastAsia="仿宋" w:cs="仿宋"/>
          <w:sz w:val="32"/>
          <w:szCs w:val="32"/>
          <w:lang w:val="en-US" w:eastAsia="zh-CN"/>
        </w:rPr>
        <w:t>臭气浓度需满足《恶臭污染物排放标准》（GB14554-93）表1恶臭污染物厂界标准值中二级新改扩建无组织排放标准。</w:t>
      </w:r>
    </w:p>
    <w:p>
      <w:pPr>
        <w:widowControl/>
        <w:autoSpaceDE w:val="0"/>
        <w:snapToGrid w:val="0"/>
        <w:spacing w:line="440" w:lineRule="exact"/>
        <w:ind w:firstLine="640"/>
        <w:jc w:val="left"/>
        <w:rPr>
          <w:rFonts w:hint="eastAsia" w:ascii="仿宋" w:hAnsi="仿宋" w:eastAsia="仿宋" w:cs="仿宋"/>
          <w:sz w:val="32"/>
          <w:szCs w:val="32"/>
          <w:lang w:val="en-US" w:eastAsia="zh-CN"/>
        </w:rPr>
      </w:pPr>
      <w:r>
        <w:rPr>
          <w:rFonts w:hint="eastAsia" w:ascii="仿宋" w:hAnsi="仿宋" w:eastAsia="仿宋" w:cs="仿宋"/>
          <w:kern w:val="0"/>
          <w:sz w:val="32"/>
          <w:szCs w:val="32"/>
          <w:lang w:bidi="ar"/>
        </w:rPr>
        <w:t>2、废水</w:t>
      </w:r>
    </w:p>
    <w:p>
      <w:pPr>
        <w:widowControl/>
        <w:autoSpaceDE w:val="0"/>
        <w:spacing w:line="420" w:lineRule="exact"/>
        <w:ind w:firstLine="641"/>
        <w:rPr>
          <w:rFonts w:hint="eastAsia" w:ascii="仿宋" w:hAnsi="仿宋" w:eastAsia="仿宋" w:cs="仿宋"/>
          <w:kern w:val="0"/>
          <w:sz w:val="32"/>
          <w:szCs w:val="32"/>
          <w:lang w:bidi="ar"/>
        </w:rPr>
      </w:pPr>
      <w:r>
        <w:rPr>
          <w:rFonts w:hint="eastAsia" w:ascii="仿宋" w:hAnsi="仿宋" w:eastAsia="仿宋" w:cs="仿宋"/>
          <w:kern w:val="0"/>
          <w:sz w:val="32"/>
          <w:szCs w:val="32"/>
          <w:lang w:bidi="ar"/>
        </w:rPr>
        <w:t>项目废水主要为医护、行政、医技人员办公生活废水和病房废水、门诊废水、检验废水、煎药锅清洗废水。检验废水经过酸碱中和预处理后与医护、行政、医技人员办公生活废水、病房废水、门诊废水和煎药锅清洗废水共同排入化粪池，经污水处理站处理后排入石家庄污水处理有限公司桥西污水处理厂进一步处理。污水处理站处理工艺为“调节池+一体化污水处理设备（水解酸化池+生物接触氧化池+沉淀池+接触消毒池）”，外排废水须满足《医疗机构水污染物排放标准》（GB18446-2005）表2预处理标准要求及石家庄污水处理有限公司桥西污水处理厂进水水质标准要求。</w:t>
      </w:r>
    </w:p>
    <w:p>
      <w:pPr>
        <w:widowControl/>
        <w:autoSpaceDE w:val="0"/>
        <w:spacing w:line="420" w:lineRule="exact"/>
        <w:ind w:firstLine="641"/>
        <w:rPr>
          <w:rFonts w:hint="eastAsia" w:ascii="仿宋" w:hAnsi="仿宋" w:eastAsia="仿宋" w:cs="仿宋"/>
          <w:sz w:val="32"/>
          <w:szCs w:val="32"/>
        </w:rPr>
      </w:pPr>
      <w:r>
        <w:rPr>
          <w:rFonts w:hint="eastAsia" w:ascii="仿宋" w:hAnsi="仿宋" w:eastAsia="仿宋" w:cs="仿宋"/>
          <w:kern w:val="0"/>
          <w:sz w:val="32"/>
          <w:szCs w:val="32"/>
          <w:lang w:bidi="ar"/>
        </w:rPr>
        <w:t>3、噪声</w:t>
      </w:r>
    </w:p>
    <w:p>
      <w:pPr>
        <w:widowControl/>
        <w:autoSpaceDE w:val="0"/>
        <w:spacing w:line="440" w:lineRule="exact"/>
        <w:ind w:firstLine="640"/>
        <w:jc w:val="left"/>
        <w:rPr>
          <w:rFonts w:hint="eastAsia" w:ascii="仿宋" w:hAnsi="仿宋" w:eastAsia="仿宋" w:cs="仿宋"/>
          <w:sz w:val="32"/>
          <w:szCs w:val="32"/>
        </w:rPr>
      </w:pPr>
      <w:r>
        <w:rPr>
          <w:rFonts w:hint="eastAsia" w:ascii="仿宋" w:hAnsi="仿宋" w:eastAsia="仿宋" w:cs="仿宋"/>
          <w:sz w:val="32"/>
          <w:szCs w:val="32"/>
        </w:rPr>
        <w:t>主要为设备噪声、车辆噪声和门诊病人、住院病人及陪护人员产生的社会生活噪声，采取低噪声设备、基础减振、建筑隔声等防治措施，厂界噪声须满足《工业企业厂界环境噪声排放标准》（GB12348-2008）1类标准，中华绿园小区处噪声须满足《声环境质量标准》（GB3096-2008）1类标准。</w:t>
      </w:r>
    </w:p>
    <w:p>
      <w:pPr>
        <w:widowControl/>
        <w:autoSpaceDE w:val="0"/>
        <w:spacing w:line="440" w:lineRule="exact"/>
        <w:ind w:firstLine="640"/>
        <w:jc w:val="left"/>
        <w:rPr>
          <w:rFonts w:hint="eastAsia" w:ascii="仿宋" w:hAnsi="仿宋" w:eastAsia="仿宋" w:cs="仿宋"/>
          <w:sz w:val="32"/>
          <w:szCs w:val="32"/>
        </w:rPr>
      </w:pPr>
      <w:r>
        <w:rPr>
          <w:rFonts w:hint="eastAsia" w:ascii="仿宋" w:hAnsi="仿宋" w:eastAsia="仿宋" w:cs="仿宋"/>
          <w:sz w:val="32"/>
          <w:szCs w:val="32"/>
        </w:rPr>
        <w:t>4、固废</w:t>
      </w:r>
    </w:p>
    <w:p>
      <w:pPr>
        <w:widowControl/>
        <w:autoSpaceDE w:val="0"/>
        <w:spacing w:line="440" w:lineRule="exact"/>
        <w:ind w:firstLine="640"/>
        <w:jc w:val="left"/>
        <w:rPr>
          <w:rFonts w:hint="eastAsia" w:ascii="仿宋" w:hAnsi="仿宋" w:eastAsia="仿宋" w:cs="仿宋"/>
          <w:sz w:val="32"/>
          <w:szCs w:val="32"/>
        </w:rPr>
      </w:pPr>
      <w:r>
        <w:rPr>
          <w:rFonts w:hint="eastAsia" w:ascii="仿宋" w:hAnsi="仿宋" w:eastAsia="仿宋" w:cs="仿宋"/>
          <w:sz w:val="32"/>
          <w:szCs w:val="32"/>
        </w:rPr>
        <w:t>（1）一般固废</w:t>
      </w:r>
    </w:p>
    <w:p>
      <w:pPr>
        <w:widowControl/>
        <w:autoSpaceDE w:val="0"/>
        <w:spacing w:line="440" w:lineRule="exact"/>
        <w:ind w:firstLine="640"/>
        <w:jc w:val="left"/>
        <w:rPr>
          <w:rFonts w:hint="eastAsia" w:ascii="仿宋" w:hAnsi="仿宋" w:eastAsia="仿宋" w:cs="仿宋"/>
          <w:sz w:val="32"/>
          <w:szCs w:val="32"/>
        </w:rPr>
      </w:pPr>
      <w:r>
        <w:rPr>
          <w:rFonts w:hint="eastAsia" w:ascii="仿宋" w:hAnsi="仿宋" w:eastAsia="仿宋" w:cs="仿宋"/>
          <w:sz w:val="32"/>
          <w:szCs w:val="32"/>
        </w:rPr>
        <w:t>废包装物、空调废滤材、中药渣交由环卫部门统一处置，未被感染的输液瓶（袋）以及玻璃小药瓶、煎药废气处理过程产生的废活性炭外售。</w:t>
      </w:r>
    </w:p>
    <w:p>
      <w:pPr>
        <w:widowControl/>
        <w:autoSpaceDE w:val="0"/>
        <w:spacing w:line="440" w:lineRule="exact"/>
        <w:ind w:firstLine="640"/>
        <w:jc w:val="left"/>
        <w:rPr>
          <w:rFonts w:hint="eastAsia" w:ascii="仿宋" w:hAnsi="仿宋" w:eastAsia="仿宋" w:cs="仿宋"/>
          <w:sz w:val="32"/>
          <w:szCs w:val="32"/>
        </w:rPr>
      </w:pPr>
      <w:r>
        <w:rPr>
          <w:rFonts w:hint="eastAsia" w:ascii="仿宋" w:hAnsi="仿宋" w:eastAsia="仿宋" w:cs="仿宋"/>
          <w:sz w:val="32"/>
          <w:szCs w:val="32"/>
        </w:rPr>
        <w:t>（2）危险废物</w:t>
      </w:r>
    </w:p>
    <w:p>
      <w:pPr>
        <w:widowControl/>
        <w:autoSpaceDE w:val="0"/>
        <w:spacing w:line="440" w:lineRule="exact"/>
        <w:ind w:firstLine="640"/>
        <w:jc w:val="left"/>
        <w:rPr>
          <w:rFonts w:hint="eastAsia" w:ascii="仿宋" w:hAnsi="仿宋" w:eastAsia="仿宋" w:cs="仿宋"/>
          <w:sz w:val="32"/>
          <w:szCs w:val="32"/>
        </w:rPr>
      </w:pPr>
      <w:r>
        <w:rPr>
          <w:rFonts w:hint="eastAsia" w:ascii="仿宋" w:hAnsi="仿宋" w:eastAsia="仿宋" w:cs="仿宋"/>
          <w:sz w:val="32"/>
          <w:szCs w:val="32"/>
          <w:lang w:val="en-US" w:eastAsia="zh-CN"/>
        </w:rPr>
        <w:t>主要为医疗废物、废药物药品、污水处理站废气处理产生的活性炭、化粪池和污水处理站污泥。医疗废物、废药物药品，在医疗废物暂存间暂存后定期交由资质单位运输处置；污水处理站废气处理产生的活性炭暂存于危险废物暂存间，定期由有资质单位处置；化粪池和污水处理站污泥经过消毒处理后，直接委托有资质单位处置。</w:t>
      </w:r>
      <w:r>
        <w:rPr>
          <w:rFonts w:hint="eastAsia" w:ascii="仿宋" w:hAnsi="仿宋" w:eastAsia="仿宋" w:cs="仿宋"/>
          <w:sz w:val="32"/>
          <w:szCs w:val="32"/>
        </w:rPr>
        <w:t xml:space="preserve"> </w:t>
      </w:r>
    </w:p>
    <w:p>
      <w:pPr>
        <w:widowControl/>
        <w:autoSpaceDE w:val="0"/>
        <w:spacing w:line="440" w:lineRule="exact"/>
        <w:ind w:firstLine="640"/>
        <w:jc w:val="left"/>
        <w:rPr>
          <w:rFonts w:hint="eastAsia" w:ascii="仿宋" w:hAnsi="仿宋" w:eastAsia="仿宋" w:cs="仿宋"/>
          <w:sz w:val="32"/>
          <w:szCs w:val="32"/>
        </w:rPr>
      </w:pPr>
      <w:r>
        <w:rPr>
          <w:rFonts w:hint="eastAsia" w:ascii="仿宋" w:hAnsi="仿宋" w:eastAsia="仿宋" w:cs="仿宋"/>
          <w:sz w:val="32"/>
          <w:szCs w:val="32"/>
        </w:rPr>
        <w:t>（3）生活垃圾</w:t>
      </w:r>
    </w:p>
    <w:p>
      <w:pPr>
        <w:widowControl/>
        <w:autoSpaceDE w:val="0"/>
        <w:spacing w:line="440" w:lineRule="exact"/>
        <w:ind w:firstLine="640"/>
        <w:jc w:val="left"/>
        <w:rPr>
          <w:rFonts w:hint="eastAsia" w:ascii="仿宋" w:hAnsi="仿宋" w:eastAsia="仿宋" w:cs="仿宋"/>
          <w:sz w:val="32"/>
          <w:szCs w:val="32"/>
        </w:rPr>
      </w:pPr>
      <w:r>
        <w:rPr>
          <w:rFonts w:hint="eastAsia" w:ascii="仿宋" w:hAnsi="仿宋" w:eastAsia="仿宋" w:cs="仿宋"/>
          <w:sz w:val="32"/>
          <w:szCs w:val="32"/>
        </w:rPr>
        <w:t>集中收集后定期由环卫部门统一处理。</w:t>
      </w:r>
    </w:p>
    <w:p>
      <w:pPr>
        <w:widowControl/>
        <w:autoSpaceDE w:val="0"/>
        <w:spacing w:line="440" w:lineRule="exact"/>
        <w:ind w:firstLine="640"/>
        <w:jc w:val="left"/>
        <w:rPr>
          <w:rFonts w:hint="eastAsia" w:ascii="仿宋" w:hAnsi="仿宋" w:eastAsia="仿宋" w:cs="仿宋"/>
          <w:sz w:val="32"/>
          <w:szCs w:val="32"/>
        </w:rPr>
      </w:pPr>
      <w:r>
        <w:rPr>
          <w:rFonts w:hint="eastAsia" w:ascii="仿宋" w:hAnsi="仿宋" w:eastAsia="仿宋" w:cs="仿宋"/>
          <w:sz w:val="32"/>
          <w:szCs w:val="32"/>
        </w:rPr>
        <w:t>三、污染物排放量控制指标以“河北省建设项目主要污染物总量指标确认书”的审核意见和总量交易意见为准。</w:t>
      </w:r>
    </w:p>
    <w:p>
      <w:pPr>
        <w:widowControl/>
        <w:autoSpaceDE w:val="0"/>
        <w:spacing w:line="440" w:lineRule="exact"/>
        <w:ind w:firstLine="640"/>
        <w:jc w:val="left"/>
        <w:rPr>
          <w:rFonts w:hint="eastAsia" w:ascii="仿宋" w:hAnsi="仿宋" w:eastAsia="仿宋" w:cs="仿宋"/>
          <w:sz w:val="32"/>
          <w:szCs w:val="32"/>
        </w:rPr>
      </w:pPr>
      <w:r>
        <w:rPr>
          <w:rFonts w:hint="eastAsia" w:ascii="仿宋" w:hAnsi="仿宋" w:eastAsia="仿宋" w:cs="仿宋"/>
          <w:sz w:val="32"/>
          <w:szCs w:val="32"/>
        </w:rPr>
        <w:t>四、严格落实环境风险防范措施，完善环境应急预案；设计安全生产问题，要按安全生产监督管理部门要求做好风险源管理和安全生产，确保事故情况下环境安全。</w:t>
      </w:r>
    </w:p>
    <w:p>
      <w:pPr>
        <w:spacing w:line="420" w:lineRule="exact"/>
        <w:ind w:firstLine="640" w:firstLineChars="200"/>
        <w:rPr>
          <w:rFonts w:hint="eastAsia" w:ascii="仿宋" w:hAnsi="仿宋" w:eastAsia="仿宋" w:cs="仿宋"/>
          <w:sz w:val="32"/>
          <w:szCs w:val="32"/>
        </w:rPr>
      </w:pPr>
      <w:r>
        <w:rPr>
          <w:rFonts w:hint="eastAsia" w:ascii="仿宋" w:hAnsi="仿宋" w:eastAsia="仿宋" w:cs="仿宋"/>
          <w:sz w:val="32"/>
          <w:szCs w:val="32"/>
        </w:rPr>
        <w:t>五、本项目环评文件经批准后，建设项目的性质、规模、地点、采用的生产工艺或者防治污染的措施发生重大变动的，建设单位应当重新报批环评文件。</w:t>
      </w:r>
    </w:p>
    <w:p>
      <w:pPr>
        <w:spacing w:line="420" w:lineRule="exact"/>
        <w:ind w:firstLine="640" w:firstLineChars="200"/>
        <w:rPr>
          <w:rFonts w:hint="eastAsia" w:ascii="仿宋" w:hAnsi="仿宋" w:eastAsia="仿宋" w:cs="仿宋"/>
          <w:sz w:val="32"/>
          <w:szCs w:val="32"/>
        </w:rPr>
      </w:pPr>
      <w:r>
        <w:rPr>
          <w:rFonts w:hint="eastAsia" w:ascii="仿宋" w:hAnsi="仿宋" w:eastAsia="仿宋" w:cs="仿宋"/>
          <w:sz w:val="32"/>
          <w:szCs w:val="32"/>
        </w:rPr>
        <w:t>六、项目建设应严格执行“三同时”管理制度，定期向生态环境部门报告“三同时”完成情况。建设单位应当在项目竣工后，按照排污许可的要求办理相关许可（或登记）后，方可实行排污；应按照规定的标准和程序，组织项目竣工环境保护验收，编制验收报告，验收合格后，方可正式投入运营，并依法依规向社会公开，接受群众监督。</w:t>
      </w:r>
    </w:p>
    <w:p>
      <w:pPr>
        <w:pStyle w:val="4"/>
        <w:spacing w:line="420" w:lineRule="exact"/>
        <w:rPr>
          <w:rFonts w:hint="eastAsia" w:ascii="仿宋" w:hAnsi="仿宋" w:eastAsia="仿宋" w:cs="仿宋"/>
          <w:sz w:val="32"/>
          <w:szCs w:val="32"/>
        </w:rPr>
      </w:pPr>
      <w:r>
        <w:rPr>
          <w:rFonts w:hint="eastAsia" w:ascii="仿宋" w:hAnsi="仿宋" w:eastAsia="仿宋" w:cs="仿宋"/>
          <w:sz w:val="32"/>
          <w:szCs w:val="32"/>
        </w:rPr>
        <w:t>七、依据环保部《关于印发建设项目环境保护事中事后监督管理办法（试行）的通知》（环发[2015]183号）要求，该项目的日常监督管理工作由属地环境保护部门负责。</w:t>
      </w:r>
    </w:p>
    <w:p>
      <w:pPr>
        <w:spacing w:line="420" w:lineRule="exact"/>
        <w:ind w:firstLine="640" w:firstLineChars="200"/>
        <w:rPr>
          <w:rFonts w:hint="eastAsia" w:ascii="仿宋" w:hAnsi="仿宋" w:eastAsia="仿宋" w:cs="仿宋"/>
          <w:sz w:val="32"/>
          <w:szCs w:val="32"/>
        </w:rPr>
      </w:pPr>
      <w:r>
        <w:rPr>
          <w:rFonts w:hint="eastAsia" w:ascii="仿宋" w:hAnsi="仿宋" w:eastAsia="仿宋" w:cs="仿宋"/>
          <w:sz w:val="32"/>
          <w:szCs w:val="32"/>
        </w:rPr>
        <w:t>八、此文一式四份，区</w:t>
      </w:r>
      <w:r>
        <w:rPr>
          <w:rFonts w:hint="eastAsia" w:ascii="仿宋" w:hAnsi="仿宋" w:eastAsia="仿宋" w:cs="仿宋"/>
          <w:sz w:val="32"/>
          <w:szCs w:val="32"/>
          <w:lang w:val="en-US" w:eastAsia="zh-CN"/>
        </w:rPr>
        <w:t>数据和政务服务局</w:t>
      </w:r>
      <w:r>
        <w:rPr>
          <w:rFonts w:hint="eastAsia" w:ascii="仿宋" w:hAnsi="仿宋" w:eastAsia="仿宋" w:cs="仿宋"/>
          <w:sz w:val="32"/>
          <w:szCs w:val="32"/>
        </w:rPr>
        <w:t xml:space="preserve">一份，建设单位三份。   </w:t>
      </w:r>
    </w:p>
    <w:p>
      <w:pPr>
        <w:spacing w:line="440" w:lineRule="exact"/>
        <w:rPr>
          <w:rFonts w:hint="eastAsia" w:ascii="仿宋" w:hAnsi="仿宋" w:eastAsia="仿宋" w:cs="仿宋"/>
          <w:sz w:val="32"/>
          <w:szCs w:val="32"/>
        </w:rPr>
      </w:pPr>
    </w:p>
    <w:p>
      <w:pPr>
        <w:spacing w:line="440" w:lineRule="exact"/>
        <w:jc w:val="right"/>
        <w:rPr>
          <w:rFonts w:hint="eastAsia" w:ascii="仿宋" w:hAnsi="仿宋" w:eastAsia="仿宋" w:cs="仿宋"/>
          <w:sz w:val="32"/>
          <w:szCs w:val="32"/>
        </w:rPr>
      </w:pPr>
    </w:p>
    <w:p>
      <w:pPr>
        <w:spacing w:line="440" w:lineRule="exact"/>
        <w:jc w:val="right"/>
        <w:rPr>
          <w:rFonts w:hint="eastAsia" w:ascii="仿宋" w:hAnsi="仿宋" w:eastAsia="仿宋" w:cs="仿宋"/>
          <w:sz w:val="32"/>
          <w:szCs w:val="32"/>
        </w:rPr>
      </w:pPr>
      <w:r>
        <w:rPr>
          <w:rFonts w:hint="eastAsia" w:ascii="仿宋" w:hAnsi="仿宋" w:eastAsia="仿宋" w:cs="仿宋"/>
          <w:sz w:val="32"/>
          <w:szCs w:val="32"/>
        </w:rPr>
        <w:t>石家庄市新华区</w:t>
      </w:r>
      <w:r>
        <w:rPr>
          <w:rFonts w:hint="eastAsia" w:ascii="仿宋" w:hAnsi="仿宋" w:eastAsia="仿宋" w:cs="仿宋"/>
          <w:sz w:val="32"/>
          <w:szCs w:val="32"/>
          <w:lang w:val="en-US" w:eastAsia="zh-CN"/>
        </w:rPr>
        <w:t>数据和政务服务</w:t>
      </w:r>
      <w:r>
        <w:rPr>
          <w:rFonts w:hint="eastAsia" w:ascii="仿宋" w:hAnsi="仿宋" w:eastAsia="仿宋" w:cs="仿宋"/>
          <w:sz w:val="32"/>
          <w:szCs w:val="32"/>
        </w:rPr>
        <w:t>局</w:t>
      </w:r>
    </w:p>
    <w:p>
      <w:pPr>
        <w:spacing w:line="440" w:lineRule="exact"/>
        <w:jc w:val="center"/>
        <w:rPr>
          <w:rFonts w:hint="eastAsia" w:ascii="仿宋" w:hAnsi="仿宋" w:eastAsia="仿宋" w:cs="仿宋"/>
          <w:sz w:val="32"/>
          <w:szCs w:val="32"/>
        </w:rPr>
      </w:pPr>
      <w:r>
        <w:rPr>
          <w:rFonts w:hint="eastAsia" w:ascii="仿宋" w:hAnsi="仿宋" w:eastAsia="仿宋" w:cs="仿宋"/>
          <w:sz w:val="32"/>
          <w:szCs w:val="32"/>
        </w:rPr>
        <w:t xml:space="preserve">                            202</w:t>
      </w:r>
      <w:r>
        <w:rPr>
          <w:rFonts w:hint="eastAsia" w:ascii="仿宋" w:hAnsi="仿宋" w:eastAsia="仿宋" w:cs="仿宋"/>
          <w:sz w:val="32"/>
          <w:szCs w:val="32"/>
          <w:lang w:val="en-US" w:eastAsia="zh-CN"/>
        </w:rPr>
        <w:t>6</w:t>
      </w:r>
      <w:r>
        <w:rPr>
          <w:rFonts w:hint="eastAsia" w:ascii="仿宋" w:hAnsi="仿宋" w:eastAsia="仿宋" w:cs="仿宋"/>
          <w:sz w:val="32"/>
          <w:szCs w:val="32"/>
        </w:rPr>
        <w:t>年</w:t>
      </w:r>
      <w:r>
        <w:rPr>
          <w:rFonts w:hint="eastAsia" w:ascii="仿宋" w:hAnsi="仿宋" w:eastAsia="仿宋" w:cs="仿宋"/>
          <w:sz w:val="32"/>
          <w:szCs w:val="32"/>
          <w:lang w:val="en-US" w:eastAsia="zh-CN"/>
        </w:rPr>
        <w:t>9</w:t>
      </w:r>
      <w:r>
        <w:rPr>
          <w:rFonts w:hint="eastAsia" w:ascii="仿宋" w:hAnsi="仿宋" w:eastAsia="仿宋" w:cs="仿宋"/>
          <w:sz w:val="32"/>
          <w:szCs w:val="32"/>
        </w:rPr>
        <w:t>月</w:t>
      </w:r>
      <w:r>
        <w:rPr>
          <w:rFonts w:hint="eastAsia" w:ascii="仿宋" w:hAnsi="仿宋" w:eastAsia="仿宋" w:cs="仿宋"/>
          <w:sz w:val="32"/>
          <w:szCs w:val="32"/>
          <w:lang w:val="en-US" w:eastAsia="zh-CN"/>
        </w:rPr>
        <w:t>22</w:t>
      </w:r>
      <w:r>
        <w:rPr>
          <w:rFonts w:hint="eastAsia" w:ascii="仿宋" w:hAnsi="仿宋" w:eastAsia="仿宋" w:cs="仿宋"/>
          <w:sz w:val="32"/>
          <w:szCs w:val="32"/>
        </w:rPr>
        <w:t>日</w:t>
      </w:r>
    </w:p>
    <w:p>
      <w:pPr>
        <w:pStyle w:val="4"/>
        <w:rPr>
          <w:rFonts w:hint="eastAsia" w:ascii="仿宋_GB2312" w:hAnsi="仿宋" w:eastAsia="仿宋_GB2312"/>
          <w:color w:val="auto"/>
          <w:sz w:val="32"/>
          <w:szCs w:val="32"/>
          <w:lang w:eastAsia="zh-CN"/>
        </w:rPr>
      </w:pPr>
    </w:p>
    <w:p/>
    <w:p/>
    <w:sectPr>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8"/>
    <w:family w:val="auto"/>
    <w:pitch w:val="default"/>
    <w:sig w:usb0="E0002AFF" w:usb1="C0007841" w:usb2="00000009" w:usb3="00000000" w:csb0="400001FF" w:csb1="FFFF0000"/>
  </w:font>
  <w:font w:name="宋体">
    <w:panose1 w:val="02010600030101010101"/>
    <w:charset w:val="02"/>
    <w:family w:val="roman"/>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panose1 w:val="02010609030101010101"/>
    <w:charset w:val="86"/>
    <w:family w:val="modern"/>
    <w:pitch w:val="default"/>
    <w:sig w:usb0="00000001" w:usb1="080E0000" w:usb2="00000000" w:usb3="00000000" w:csb0="00040000" w:csb1="00000000"/>
  </w:font>
  <w:font w:name="方正小标宋简体">
    <w:panose1 w:val="02000000000000000000"/>
    <w:charset w:val="86"/>
    <w:family w:val="auto"/>
    <w:pitch w:val="default"/>
    <w:sig w:usb0="A00002BF" w:usb1="184F6CFA" w:usb2="00000012" w:usb3="00000000" w:csb0="00040001" w:csb1="00000000"/>
  </w:font>
  <w:font w:name="仿宋">
    <w:panose1 w:val="02010609060101010101"/>
    <w:charset w:val="86"/>
    <w:family w:val="auto"/>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E12778C"/>
    <w:multiLevelType w:val="singleLevel"/>
    <w:tmpl w:val="1E12778C"/>
    <w:lvl w:ilvl="0" w:tentative="0">
      <w:start w:val="1"/>
      <w:numFmt w:val="bullet"/>
      <w:pStyle w:val="6"/>
      <w:lvlText w:val=""/>
      <w:lvlJc w:val="left"/>
      <w:pPr>
        <w:tabs>
          <w:tab w:val="left" w:pos="2040"/>
        </w:tabs>
        <w:ind w:left="2040" w:hanging="360"/>
      </w:pPr>
      <w:rPr>
        <w:rFonts w:hint="default" w:ascii="Wingdings" w:hAnsi="Wingdings"/>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3B883051"/>
    <w:rsid w:val="06CA3B03"/>
    <w:rsid w:val="0DF53615"/>
    <w:rsid w:val="116577E8"/>
    <w:rsid w:val="18FD5017"/>
    <w:rsid w:val="3B883051"/>
    <w:rsid w:val="79972F4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qFormat="1"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4"/>
      <w:lang w:val="en-US" w:eastAsia="zh-CN" w:bidi="ar-SA"/>
    </w:rPr>
  </w:style>
  <w:style w:type="paragraph" w:styleId="3">
    <w:name w:val="heading 4"/>
    <w:basedOn w:val="1"/>
    <w:next w:val="1"/>
    <w:qFormat/>
    <w:uiPriority w:val="0"/>
    <w:pPr>
      <w:keepNext/>
      <w:keepLines/>
      <w:spacing w:before="280" w:after="290" w:line="376" w:lineRule="auto"/>
      <w:outlineLvl w:val="3"/>
    </w:pPr>
    <w:rPr>
      <w:rFonts w:ascii="Arial" w:hAnsi="Arial" w:eastAsia="黑体"/>
      <w:b/>
      <w:bCs/>
      <w:snapToGrid w:val="0"/>
      <w:sz w:val="28"/>
      <w:szCs w:val="28"/>
    </w:rPr>
  </w:style>
  <w:style w:type="character" w:default="1" w:styleId="9">
    <w:name w:val="Default Paragraph Font"/>
    <w:semiHidden/>
    <w:qFormat/>
    <w:uiPriority w:val="0"/>
  </w:style>
  <w:style w:type="table" w:default="1" w:styleId="8">
    <w:name w:val="Normal Table"/>
    <w:semiHidden/>
    <w:qFormat/>
    <w:uiPriority w:val="0"/>
    <w:tblPr>
      <w:tblCellMar>
        <w:top w:w="0" w:type="dxa"/>
        <w:left w:w="108" w:type="dxa"/>
        <w:bottom w:w="0" w:type="dxa"/>
        <w:right w:w="108" w:type="dxa"/>
      </w:tblCellMar>
    </w:tblPr>
  </w:style>
  <w:style w:type="paragraph" w:customStyle="1" w:styleId="2">
    <w:name w:val="_Style 1"/>
    <w:qFormat/>
    <w:uiPriority w:val="99"/>
    <w:pPr>
      <w:widowControl w:val="0"/>
      <w:jc w:val="both"/>
    </w:pPr>
    <w:rPr>
      <w:rFonts w:ascii="宋体" w:hAnsi="Times New Roman" w:eastAsia="宋体" w:cs="宋体"/>
      <w:kern w:val="2"/>
      <w:sz w:val="32"/>
      <w:szCs w:val="32"/>
      <w:lang w:val="en-US" w:eastAsia="zh-CN" w:bidi="ar-SA"/>
    </w:rPr>
  </w:style>
  <w:style w:type="paragraph" w:styleId="4">
    <w:name w:val="Normal Indent"/>
    <w:basedOn w:val="1"/>
    <w:next w:val="3"/>
    <w:qFormat/>
    <w:uiPriority w:val="0"/>
    <w:pPr>
      <w:adjustRightInd w:val="0"/>
      <w:spacing w:line="360" w:lineRule="atLeast"/>
      <w:ind w:firstLine="420"/>
      <w:jc w:val="left"/>
      <w:textAlignment w:val="baseline"/>
    </w:pPr>
    <w:rPr>
      <w:kern w:val="0"/>
      <w:sz w:val="25"/>
      <w:szCs w:val="20"/>
    </w:rPr>
  </w:style>
  <w:style w:type="paragraph" w:styleId="5">
    <w:name w:val="Body Text"/>
    <w:basedOn w:val="1"/>
    <w:next w:val="6"/>
    <w:qFormat/>
    <w:uiPriority w:val="0"/>
    <w:pPr>
      <w:widowControl/>
      <w:snapToGrid w:val="0"/>
      <w:spacing w:before="60" w:after="160" w:line="259" w:lineRule="auto"/>
      <w:ind w:right="113"/>
    </w:pPr>
    <w:rPr>
      <w:kern w:val="0"/>
      <w:sz w:val="18"/>
      <w:szCs w:val="20"/>
    </w:rPr>
  </w:style>
  <w:style w:type="paragraph" w:styleId="6">
    <w:name w:val="List Bullet 5"/>
    <w:basedOn w:val="1"/>
    <w:qFormat/>
    <w:uiPriority w:val="0"/>
    <w:pPr>
      <w:numPr>
        <w:ilvl w:val="0"/>
        <w:numId w:val="1"/>
      </w:numPr>
    </w:pPr>
  </w:style>
  <w:style w:type="paragraph" w:styleId="7">
    <w:name w:val="Normal (Web)"/>
    <w:basedOn w:val="1"/>
    <w:next w:val="1"/>
    <w:qFormat/>
    <w:uiPriority w:val="0"/>
    <w:pPr>
      <w:widowControl/>
      <w:spacing w:before="100" w:beforeAutospacing="1" w:after="100" w:afterAutospacing="1"/>
      <w:jc w:val="left"/>
    </w:pPr>
    <w:rPr>
      <w:rFonts w:ascii="宋体" w:hAnsi="宋体"/>
      <w:kern w:val="0"/>
      <w:sz w:val="24"/>
      <w:szCs w:val="20"/>
    </w:rPr>
  </w:style>
  <w:style w:type="character" w:styleId="10">
    <w:name w:val="Strong"/>
    <w:qFormat/>
    <w:uiPriority w:val="0"/>
    <w:rPr>
      <w:rFonts w:ascii="宋体" w:hAnsi="宋体" w:eastAsia="仿宋_GB2312"/>
      <w:b/>
      <w:color w:val="000000"/>
      <w:kern w:val="0"/>
      <w:sz w:val="16"/>
      <w:szCs w:val="0"/>
      <w:lang w:eastAsia="en-US"/>
    </w:rPr>
  </w:style>
  <w:style w:type="paragraph" w:customStyle="1" w:styleId="11">
    <w:name w:val="样式 样式 样式 四号 左侧:  1.53 厘米 + 首行缩进:  2 字符 + 居中 左侧:  2 字符 首行缩进:  2..."/>
    <w:basedOn w:val="12"/>
    <w:qFormat/>
    <w:uiPriority w:val="0"/>
    <w:pPr>
      <w:jc w:val="center"/>
    </w:pPr>
  </w:style>
  <w:style w:type="paragraph" w:customStyle="1" w:styleId="12">
    <w:name w:val="样式 样式 四号 左侧:  1.53 厘米 + 首行缩进:  2 字符"/>
    <w:basedOn w:val="13"/>
    <w:qFormat/>
    <w:uiPriority w:val="0"/>
    <w:pPr>
      <w:ind w:left="200" w:leftChars="200"/>
    </w:pPr>
    <w:rPr>
      <w:szCs w:val="20"/>
    </w:rPr>
  </w:style>
  <w:style w:type="paragraph" w:customStyle="1" w:styleId="13">
    <w:name w:val="样式 四号 左侧:  1.53 厘米"/>
    <w:basedOn w:val="1"/>
    <w:qFormat/>
    <w:uiPriority w:val="0"/>
    <w:pPr>
      <w:adjustRightInd w:val="0"/>
    </w:pPr>
    <w:rPr>
      <w:w w:val="90"/>
      <w:sz w:val="28"/>
      <w:szCs w:val="28"/>
    </w:rPr>
  </w:style>
  <w:style w:type="paragraph" w:customStyle="1" w:styleId="14">
    <w:name w:val="样式 正文文本 + 首行缩进:  2 字符"/>
    <w:basedOn w:val="5"/>
    <w:qFormat/>
    <w:uiPriority w:val="0"/>
    <w:pPr>
      <w:widowControl w:val="0"/>
      <w:snapToGrid/>
      <w:spacing w:before="0" w:after="0" w:line="500" w:lineRule="atLeast"/>
      <w:ind w:right="0" w:firstLine="200" w:firstLineChars="200"/>
    </w:pPr>
    <w:rPr>
      <w:sz w:val="28"/>
    </w:rPr>
  </w:style>
  <w:style w:type="paragraph" w:customStyle="1" w:styleId="15">
    <w:name w:val="表"/>
    <w:qFormat/>
    <w:uiPriority w:val="0"/>
    <w:pPr>
      <w:spacing w:line="440" w:lineRule="exact"/>
      <w:ind w:firstLine="200" w:firstLineChars="200"/>
      <w:jc w:val="both"/>
    </w:pPr>
    <w:rPr>
      <w:rFonts w:ascii="Calibri" w:hAnsi="Calibri" w:eastAsia="宋体" w:cs="Times New Roman"/>
      <w:sz w:val="24"/>
      <w:szCs w:val="22"/>
      <w:lang w:val="en-US" w:eastAsia="zh-CN" w:bidi="ar-SA"/>
    </w:rPr>
  </w:style>
  <w:style w:type="paragraph" w:customStyle="1" w:styleId="16">
    <w:name w:val="！正文"/>
    <w:next w:val="1"/>
    <w:qFormat/>
    <w:uiPriority w:val="0"/>
    <w:pPr>
      <w:widowControl w:val="0"/>
      <w:spacing w:line="500" w:lineRule="exact"/>
      <w:ind w:firstLine="200" w:firstLineChars="200"/>
      <w:jc w:val="both"/>
    </w:pPr>
    <w:rPr>
      <w:rFonts w:ascii="Times New Roman" w:hAnsi="Times New Roman" w:eastAsia="Times New Roman" w:cstheme="minorBidi"/>
      <w:sz w:val="24"/>
      <w:szCs w:val="24"/>
      <w:lang w:val="en-US" w:eastAsia="zh-CN" w:bidi="ar-SA"/>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4</Pages>
  <Words>0</Words>
  <Characters>0</Characters>
  <Lines>0</Lines>
  <Paragraphs>0</Paragraphs>
  <TotalTime>21</TotalTime>
  <ScaleCrop>false</ScaleCrop>
  <LinksUpToDate>false</LinksUpToDate>
  <CharactersWithSpaces>0</CharactersWithSpaces>
  <Application>WPS Office_11.8.2.12316_F1E327BC-269C-435d-A152-05C5408002CA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2026-08-21T06:42:00Z</dcterms:created>
  <dc:creator>ff8080817b32bbe8017b33216f0b11c9</dc:creator>
  <cp:lastModifiedBy>ff8080817b32bbe8017b33216f0b11c9</cp:lastModifiedBy>
  <cp:lastPrinted>2026-09-01T02:00:00Z</cp:lastPrinted>
  <dcterms:modified xsi:type="dcterms:W3CDTF">2026-09-23T05:47:59Z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2052-11.8.2.12316</vt:lpwstr>
  </property>
  <property fmtid="{D5CDD505-2E9C-101B-9397-08002B2CF9AE}" pid="3" name="ICV">
    <vt:lpwstr>FBC3CD2D67B8456D8CAD00EEBCB04B87</vt:lpwstr>
  </property>
</Properties>
</file>