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C6374B">
      <w:pPr>
        <w:overflowPunct w:val="0"/>
        <w:autoSpaceDN w:val="0"/>
        <w:spacing w:line="440" w:lineRule="exact"/>
        <w:jc w:val="center"/>
        <w:textAlignment w:val="center"/>
        <w:rPr>
          <w:rFonts w:hint="eastAsia" w:ascii="宋体" w:hAnsi="宋体" w:eastAsia="宋体" w:cs="宋体"/>
          <w:b w:val="0"/>
          <w:bCs w:val="0"/>
          <w:color w:val="000000"/>
          <w:sz w:val="44"/>
          <w:szCs w:val="44"/>
        </w:rPr>
      </w:pPr>
      <w:r>
        <w:rPr>
          <w:rFonts w:hint="eastAsia" w:ascii="宋体" w:hAnsi="宋体" w:eastAsia="宋体" w:cs="宋体"/>
          <w:b w:val="0"/>
          <w:bCs w:val="0"/>
          <w:color w:val="000000"/>
          <w:sz w:val="44"/>
          <w:szCs w:val="44"/>
          <w:lang w:eastAsia="zh-CN"/>
        </w:rPr>
        <w:t>石家庄市新华区</w:t>
      </w:r>
      <w:r>
        <w:rPr>
          <w:rFonts w:hint="eastAsia" w:ascii="宋体" w:hAnsi="宋体" w:eastAsia="宋体" w:cs="宋体"/>
          <w:b w:val="0"/>
          <w:bCs w:val="0"/>
          <w:color w:val="000000"/>
          <w:sz w:val="44"/>
          <w:szCs w:val="44"/>
        </w:rPr>
        <w:t>市场监督管理局</w:t>
      </w:r>
    </w:p>
    <w:p w14:paraId="7120DF4A">
      <w:pPr>
        <w:overflowPunct w:val="0"/>
        <w:autoSpaceDN w:val="0"/>
        <w:spacing w:line="440" w:lineRule="exact"/>
        <w:jc w:val="center"/>
        <w:textAlignment w:val="center"/>
        <w:rPr>
          <w:rFonts w:hint="eastAsia" w:ascii="宋体" w:hAnsi="宋体" w:eastAsia="宋体" w:cs="宋体"/>
          <w:b w:val="0"/>
          <w:bCs w:val="0"/>
          <w:color w:val="000000"/>
          <w:sz w:val="44"/>
          <w:szCs w:val="44"/>
        </w:rPr>
      </w:pPr>
      <w:r>
        <w:rPr>
          <w:rFonts w:hint="eastAsia" w:ascii="宋体" w:hAnsi="宋体" w:eastAsia="宋体" w:cs="宋体"/>
          <w:b w:val="0"/>
          <w:bCs w:val="0"/>
          <w:color w:val="000000"/>
          <w:sz w:val="44"/>
          <w:szCs w:val="44"/>
        </w:rPr>
        <w:t>行政处罚决定书</w:t>
      </w:r>
    </w:p>
    <w:p w14:paraId="1301BF98">
      <w:pPr>
        <w:wordWrap w:val="0"/>
        <w:overflowPunct w:val="0"/>
        <w:autoSpaceDN w:val="0"/>
        <w:snapToGrid w:val="0"/>
        <w:spacing w:line="440" w:lineRule="exact"/>
        <w:jc w:val="center"/>
        <w:textAlignment w:val="center"/>
        <w:rPr>
          <w:rFonts w:hint="eastAsia" w:ascii="宋体" w:hAnsi="宋体" w:eastAsia="宋体" w:cs="宋体"/>
          <w:b w:val="0"/>
          <w:bCs w:val="0"/>
          <w:color w:val="000000"/>
          <w:sz w:val="32"/>
          <w:szCs w:val="32"/>
        </w:rPr>
      </w:pPr>
      <w:r>
        <w:rPr>
          <w:rFonts w:hint="eastAsia" w:ascii="宋体" w:hAnsi="宋体" w:eastAsia="宋体" w:cs="宋体"/>
          <w:b w:val="0"/>
          <w:bCs w:val="0"/>
          <w:color w:val="000000"/>
          <w:kern w:val="2"/>
          <w:sz w:val="32"/>
          <w:szCs w:val="32"/>
          <w:u w:val="single"/>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25400</wp:posOffset>
                </wp:positionH>
                <wp:positionV relativeFrom="paragraph">
                  <wp:posOffset>20802600</wp:posOffset>
                </wp:positionV>
                <wp:extent cx="5761990" cy="1270"/>
                <wp:effectExtent l="9525" t="9525" r="19685" b="17780"/>
                <wp:wrapNone/>
                <wp:docPr id="1" name="直接箭头连接符 1"/>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19050" cap="sq" cmpd="sng">
                          <a:solidFill>
                            <a:srgbClr val="000000">
                              <a:alpha val="100000"/>
                            </a:srgbClr>
                          </a:solidFill>
                          <a:prstDash val="solid"/>
                          <a:headEnd type="none" w="med" len="med"/>
                          <a:tailEnd type="none" w="med" len="med"/>
                        </a:ln>
                      </wps:spPr>
                      <wps:bodyPr upright="0"/>
                    </wps:wsp>
                  </a:graphicData>
                </a:graphic>
              </wp:anchor>
            </w:drawing>
          </mc:Choice>
          <mc:Fallback>
            <w:pict>
              <v:shape id="_x0000_s1026" o:spid="_x0000_s1026" o:spt="32" type="#_x0000_t32" style="position:absolute;left:0pt;margin-left:2pt;margin-top:1638pt;height:0.1pt;width:453.7pt;z-index:251659264;mso-width-relative:page;mso-height-relative:page;" filled="f" stroked="t" coordsize="21600,21600" o:gfxdata="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LXiia2gAAAAsBAAAPAAAAAAAA&#10;AAEAIAAAACIAAABkcnMvZG93bnJldi54bWxQSwECFAAUAAAACACHTuJA/kQWFBACAAAcBAAADgAA&#10;AAAAAAABACAAAAApAQAAZHJzL2Uyb0RvYy54bWxQSwUGAAAAAAYABgBZAQAAqwUAAAAA&#10;">
                <v:fill on="f" focussize="0,0"/>
                <v:stroke weight="1.5pt" color="#000000" joinstyle="round" endcap="square"/>
                <v:imagedata o:title=""/>
                <o:lock v:ext="edit" aspectratio="f"/>
              </v:shape>
            </w:pict>
          </mc:Fallback>
        </mc:AlternateContent>
      </w:r>
      <w:r>
        <w:rPr>
          <w:rFonts w:hint="eastAsia" w:ascii="宋体" w:hAnsi="宋体" w:eastAsia="宋体" w:cs="宋体"/>
          <w:b w:val="0"/>
          <w:bCs w:val="0"/>
          <w:color w:val="000000"/>
          <w:sz w:val="32"/>
          <w:szCs w:val="32"/>
          <w:u w:val="single"/>
          <w:lang w:eastAsia="zh-CN"/>
        </w:rPr>
        <w:t>石新</w:t>
      </w:r>
      <w:r>
        <w:rPr>
          <w:rFonts w:hint="eastAsia" w:ascii="宋体" w:hAnsi="宋体" w:eastAsia="宋体" w:cs="宋体"/>
          <w:b w:val="0"/>
          <w:bCs w:val="0"/>
          <w:color w:val="000000"/>
          <w:sz w:val="32"/>
          <w:szCs w:val="32"/>
        </w:rPr>
        <w:t>市监</w:t>
      </w:r>
      <w:r>
        <w:rPr>
          <w:rFonts w:hint="eastAsia" w:ascii="宋体" w:hAnsi="宋体" w:eastAsia="宋体" w:cs="宋体"/>
          <w:b w:val="0"/>
          <w:bCs w:val="0"/>
          <w:color w:val="000000"/>
          <w:sz w:val="32"/>
          <w:szCs w:val="32"/>
          <w:u w:val="single"/>
        </w:rPr>
        <w:t xml:space="preserve"> </w:t>
      </w:r>
      <w:r>
        <w:rPr>
          <w:rFonts w:hint="eastAsia" w:ascii="宋体" w:hAnsi="宋体" w:eastAsia="宋体" w:cs="宋体"/>
          <w:b w:val="0"/>
          <w:bCs w:val="0"/>
          <w:color w:val="000000"/>
          <w:sz w:val="32"/>
          <w:szCs w:val="32"/>
          <w:u w:val="single"/>
          <w:lang w:eastAsia="zh-CN"/>
        </w:rPr>
        <w:t>处</w:t>
      </w:r>
      <w:r>
        <w:rPr>
          <w:rFonts w:hint="eastAsia" w:ascii="宋体" w:hAnsi="宋体" w:cs="宋体"/>
          <w:b w:val="0"/>
          <w:bCs w:val="0"/>
          <w:color w:val="000000"/>
          <w:sz w:val="32"/>
          <w:szCs w:val="32"/>
          <w:u w:val="single"/>
          <w:lang w:eastAsia="zh-CN"/>
        </w:rPr>
        <w:t>罚</w:t>
      </w:r>
      <w:r>
        <w:rPr>
          <w:rFonts w:hint="eastAsia" w:ascii="宋体" w:hAnsi="宋体" w:eastAsia="宋体" w:cs="宋体"/>
          <w:b w:val="0"/>
          <w:bCs w:val="0"/>
          <w:color w:val="000000"/>
          <w:sz w:val="32"/>
          <w:szCs w:val="32"/>
          <w:u w:val="single"/>
        </w:rPr>
        <w:t xml:space="preserve"> </w:t>
      </w:r>
      <w:r>
        <w:rPr>
          <w:rFonts w:hint="eastAsia" w:ascii="宋体" w:hAnsi="宋体" w:eastAsia="宋体" w:cs="宋体"/>
          <w:b w:val="0"/>
          <w:bCs w:val="0"/>
          <w:color w:val="000000"/>
          <w:sz w:val="32"/>
          <w:szCs w:val="32"/>
        </w:rPr>
        <w:t>〔</w:t>
      </w:r>
      <w:r>
        <w:rPr>
          <w:rFonts w:hint="eastAsia" w:ascii="宋体" w:hAnsi="宋体" w:eastAsia="宋体" w:cs="宋体"/>
          <w:b w:val="0"/>
          <w:bCs w:val="0"/>
          <w:color w:val="000000"/>
          <w:sz w:val="32"/>
          <w:szCs w:val="32"/>
          <w:u w:val="single"/>
        </w:rPr>
        <w:t xml:space="preserve"> </w:t>
      </w:r>
      <w:r>
        <w:rPr>
          <w:rFonts w:hint="eastAsia" w:ascii="宋体" w:hAnsi="宋体" w:eastAsia="宋体" w:cs="宋体"/>
          <w:b w:val="0"/>
          <w:bCs w:val="0"/>
          <w:color w:val="000000"/>
          <w:sz w:val="32"/>
          <w:szCs w:val="32"/>
          <w:u w:val="single"/>
          <w:lang w:val="en-US" w:eastAsia="zh-CN"/>
        </w:rPr>
        <w:t>202</w:t>
      </w:r>
      <w:r>
        <w:rPr>
          <w:rFonts w:hint="eastAsia" w:ascii="宋体" w:hAnsi="宋体" w:cs="宋体"/>
          <w:b w:val="0"/>
          <w:bCs w:val="0"/>
          <w:color w:val="000000"/>
          <w:sz w:val="32"/>
          <w:szCs w:val="32"/>
          <w:u w:val="single"/>
          <w:lang w:val="en-US" w:eastAsia="zh-CN"/>
        </w:rPr>
        <w:t>6</w:t>
      </w:r>
      <w:r>
        <w:rPr>
          <w:rFonts w:hint="eastAsia" w:ascii="宋体" w:hAnsi="宋体" w:eastAsia="宋体" w:cs="宋体"/>
          <w:b w:val="0"/>
          <w:bCs w:val="0"/>
          <w:color w:val="000000"/>
          <w:sz w:val="32"/>
          <w:szCs w:val="32"/>
          <w:u w:val="single"/>
        </w:rPr>
        <w:t xml:space="preserve"> </w:t>
      </w:r>
      <w:r>
        <w:rPr>
          <w:rFonts w:hint="eastAsia" w:ascii="宋体" w:hAnsi="宋体" w:eastAsia="宋体" w:cs="宋体"/>
          <w:b w:val="0"/>
          <w:bCs w:val="0"/>
          <w:color w:val="000000"/>
          <w:sz w:val="32"/>
          <w:szCs w:val="32"/>
        </w:rPr>
        <w:t>〕</w:t>
      </w:r>
      <w:r>
        <w:rPr>
          <w:rFonts w:hint="eastAsia" w:ascii="宋体" w:hAnsi="宋体" w:cs="宋体"/>
          <w:b w:val="0"/>
          <w:bCs w:val="0"/>
          <w:color w:val="000000"/>
          <w:sz w:val="32"/>
          <w:szCs w:val="32"/>
          <w:u w:val="single"/>
          <w:lang w:val="en-US" w:eastAsia="zh-CN"/>
        </w:rPr>
        <w:t>122</w:t>
      </w:r>
      <w:r>
        <w:rPr>
          <w:rFonts w:hint="eastAsia" w:ascii="宋体" w:hAnsi="宋体" w:eastAsia="宋体" w:cs="宋体"/>
          <w:b w:val="0"/>
          <w:bCs w:val="0"/>
          <w:color w:val="000000"/>
          <w:sz w:val="32"/>
          <w:szCs w:val="32"/>
        </w:rPr>
        <w:t>号</w:t>
      </w:r>
    </w:p>
    <w:p w14:paraId="792A0437">
      <w:pPr>
        <w:wordWrap w:val="0"/>
        <w:overflowPunct w:val="0"/>
        <w:autoSpaceDN w:val="0"/>
        <w:snapToGrid w:val="0"/>
        <w:spacing w:line="440" w:lineRule="exact"/>
        <w:jc w:val="center"/>
        <w:textAlignment w:val="center"/>
        <w:rPr>
          <w:rFonts w:hint="eastAsia" w:ascii="宋体" w:hAnsi="宋体" w:eastAsia="宋体" w:cs="宋体"/>
          <w:b w:val="0"/>
          <w:bCs w:val="0"/>
          <w:color w:val="000000"/>
          <w:sz w:val="32"/>
          <w:szCs w:val="32"/>
        </w:rPr>
      </w:pPr>
    </w:p>
    <w:p w14:paraId="00846D6D">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snapToGrid/>
        <w:spacing w:line="460" w:lineRule="exact"/>
        <w:textAlignment w:val="center"/>
        <w:rPr>
          <w:rFonts w:hint="eastAsia" w:ascii="仿宋" w:hAnsi="仿宋" w:eastAsia="仿宋" w:cs="仿宋"/>
          <w:b w:val="0"/>
          <w:bCs w:val="0"/>
          <w:color w:val="000000" w:themeColor="text1"/>
          <w:kern w:val="2"/>
          <w:sz w:val="32"/>
          <w:szCs w:val="32"/>
          <w:u w:val="singl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当事人：</w:t>
      </w:r>
      <w:r>
        <w:rPr>
          <w:rFonts w:hint="eastAsia" w:ascii="仿宋" w:hAnsi="仿宋" w:eastAsia="仿宋" w:cs="仿宋"/>
          <w:b w:val="0"/>
          <w:bCs w:val="0"/>
          <w:color w:val="000000" w:themeColor="text1"/>
          <w:kern w:val="2"/>
          <w:sz w:val="32"/>
          <w:szCs w:val="32"/>
          <w:u w:val="single"/>
          <w:lang w:val="en-US" w:eastAsia="zh-CN" w:bidi="ar-SA"/>
          <w14:textFill>
            <w14:solidFill>
              <w14:schemeClr w14:val="tx1"/>
            </w14:solidFill>
          </w14:textFill>
        </w:rPr>
        <w:t xml:space="preserve">  石家庄深洋商贸有限公司                             </w:t>
      </w:r>
    </w:p>
    <w:p w14:paraId="0C8776B6">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snapToGrid/>
        <w:spacing w:line="460" w:lineRule="exact"/>
        <w:textAlignment w:val="cente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主体资格证照名称</w:t>
      </w:r>
      <w:r>
        <w:rPr>
          <w:rFonts w:hint="eastAsia" w:ascii="仿宋" w:hAnsi="仿宋" w:eastAsia="仿宋" w:cs="仿宋"/>
          <w:b w:val="0"/>
          <w:bCs w:val="0"/>
          <w:color w:val="000000" w:themeColor="text1"/>
          <w:kern w:val="2"/>
          <w:sz w:val="32"/>
          <w:szCs w:val="32"/>
          <w:u w:val="single"/>
          <w:lang w:val="en-US" w:eastAsia="zh-CN" w:bidi="ar-SA"/>
          <w14:textFill>
            <w14:solidFill>
              <w14:schemeClr w14:val="tx1"/>
            </w14:solidFill>
          </w14:textFill>
        </w:rPr>
        <w:t xml:space="preserve">：     营业执照                          </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 xml:space="preserve">              </w:t>
      </w:r>
    </w:p>
    <w:p w14:paraId="606CB6F1">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snapToGrid/>
        <w:spacing w:line="460" w:lineRule="exact"/>
        <w:textAlignment w:val="cente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统一社会信用代码（注册号）：</w:t>
      </w:r>
      <w:r>
        <w:rPr>
          <w:rFonts w:hint="eastAsia" w:ascii="仿宋" w:hAnsi="仿宋" w:eastAsia="仿宋" w:cs="仿宋"/>
          <w:b w:val="0"/>
          <w:bCs w:val="0"/>
          <w:color w:val="000000" w:themeColor="text1"/>
          <w:kern w:val="2"/>
          <w:sz w:val="32"/>
          <w:szCs w:val="32"/>
          <w:u w:val="single"/>
          <w:lang w:val="en-US" w:eastAsia="zh-CN" w:bidi="ar-SA"/>
          <w14:textFill>
            <w14:solidFill>
              <w14:schemeClr w14:val="tx1"/>
            </w14:solidFill>
          </w14:textFill>
        </w:rPr>
        <w:t xml:space="preserve"> 91130105MA0GEJF13E          </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 xml:space="preserve">          </w:t>
      </w:r>
    </w:p>
    <w:p w14:paraId="38971E7A">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snapToGrid/>
        <w:spacing w:line="460" w:lineRule="exact"/>
        <w:textAlignment w:val="center"/>
        <w:rPr>
          <w:rFonts w:hint="eastAsia" w:ascii="仿宋" w:hAnsi="仿宋" w:eastAsia="仿宋" w:cs="仿宋"/>
          <w:b w:val="0"/>
          <w:bCs w:val="0"/>
          <w:color w:val="000000" w:themeColor="text1"/>
          <w:kern w:val="2"/>
          <w:sz w:val="32"/>
          <w:szCs w:val="32"/>
          <w:u w:val="singl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住所（住址）：</w:t>
      </w:r>
      <w:r>
        <w:rPr>
          <w:rFonts w:hint="eastAsia" w:ascii="仿宋" w:hAnsi="仿宋" w:eastAsia="仿宋" w:cs="仿宋"/>
          <w:b w:val="0"/>
          <w:bCs w:val="0"/>
          <w:color w:val="000000" w:themeColor="text1"/>
          <w:kern w:val="2"/>
          <w:sz w:val="32"/>
          <w:szCs w:val="32"/>
          <w:u w:val="single"/>
          <w:lang w:val="en-US" w:eastAsia="zh-CN" w:bidi="ar-SA"/>
          <w14:textFill>
            <w14:solidFill>
              <w14:schemeClr w14:val="tx1"/>
            </w14:solidFill>
          </w14:textFill>
        </w:rPr>
        <w:t xml:space="preserve"> 河北省石家庄市新华区赵佗路51号临街商铺                    </w:t>
      </w:r>
    </w:p>
    <w:p w14:paraId="34FD3034">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snapToGrid/>
        <w:spacing w:line="460" w:lineRule="exact"/>
        <w:textAlignment w:val="cente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法定代表人：</w:t>
      </w:r>
      <w:r>
        <w:rPr>
          <w:rFonts w:hint="eastAsia" w:ascii="仿宋" w:hAnsi="仿宋" w:eastAsia="仿宋" w:cs="仿宋"/>
          <w:b w:val="0"/>
          <w:bCs w:val="0"/>
          <w:color w:val="000000" w:themeColor="text1"/>
          <w:kern w:val="2"/>
          <w:sz w:val="32"/>
          <w:szCs w:val="32"/>
          <w:u w:val="single"/>
          <w:lang w:val="en-US" w:eastAsia="zh-CN" w:bidi="ar-SA"/>
          <w14:textFill>
            <w14:solidFill>
              <w14:schemeClr w14:val="tx1"/>
            </w14:solidFill>
          </w14:textFill>
        </w:rPr>
        <w:t xml:space="preserve"> 孙荣兴                                          </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 xml:space="preserve">  </w:t>
      </w:r>
    </w:p>
    <w:p w14:paraId="54C4C042">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snapToGrid/>
        <w:spacing w:line="460" w:lineRule="exact"/>
        <w:textAlignment w:val="center"/>
        <w:rPr>
          <w:rFonts w:hint="eastAsia" w:ascii="仿宋" w:hAnsi="仿宋" w:eastAsia="仿宋" w:cs="仿宋"/>
          <w:b w:val="0"/>
          <w:bCs w:val="0"/>
          <w:color w:val="000000" w:themeColor="text1"/>
          <w:kern w:val="2"/>
          <w:sz w:val="32"/>
          <w:szCs w:val="32"/>
          <w:u w:val="singl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联系电话：</w:t>
      </w:r>
      <w:r>
        <w:rPr>
          <w:rFonts w:hint="eastAsia" w:ascii="仿宋" w:hAnsi="仿宋" w:eastAsia="仿宋" w:cs="仿宋"/>
          <w:b w:val="0"/>
          <w:bCs w:val="0"/>
          <w:color w:val="000000" w:themeColor="text1"/>
          <w:kern w:val="2"/>
          <w:sz w:val="32"/>
          <w:szCs w:val="32"/>
          <w:u w:val="single"/>
          <w:lang w:val="en-US" w:eastAsia="zh-CN" w:bidi="ar-SA"/>
          <w14:textFill>
            <w14:solidFill>
              <w14:schemeClr w14:val="tx1"/>
            </w14:solidFill>
          </w14:textFill>
        </w:rPr>
        <w:t xml:space="preserve"> 15233922432                                  </w:t>
      </w:r>
    </w:p>
    <w:p w14:paraId="3E925C4F">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snapToGrid/>
        <w:spacing w:line="460" w:lineRule="exact"/>
        <w:textAlignment w:val="center"/>
        <w:rPr>
          <w:rFonts w:hint="eastAsia" w:ascii="宋体" w:hAnsi="宋体" w:eastAsia="宋体" w:cs="宋体"/>
          <w:b w:val="0"/>
          <w:bCs w:val="0"/>
          <w:color w:val="000000"/>
          <w:kern w:val="1"/>
          <w:sz w:val="32"/>
          <w:szCs w:val="32"/>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联系地址：</w:t>
      </w:r>
      <w:r>
        <w:rPr>
          <w:rFonts w:hint="eastAsia" w:ascii="仿宋" w:hAnsi="仿宋" w:eastAsia="仿宋" w:cs="仿宋"/>
          <w:b w:val="0"/>
          <w:bCs w:val="0"/>
          <w:color w:val="000000" w:themeColor="text1"/>
          <w:kern w:val="2"/>
          <w:sz w:val="32"/>
          <w:szCs w:val="32"/>
          <w:u w:val="single"/>
          <w:lang w:val="en-US" w:eastAsia="zh-CN" w:bidi="ar-SA"/>
          <w14:textFill>
            <w14:solidFill>
              <w14:schemeClr w14:val="tx1"/>
            </w14:solidFill>
          </w14:textFill>
        </w:rPr>
        <w:t xml:space="preserve">  河北省石家庄市新华区赵佗路51号临街商铺                                    </w:t>
      </w:r>
      <w:r>
        <w:rPr>
          <w:rFonts w:hint="eastAsia" w:ascii="宋体" w:hAnsi="宋体" w:eastAsia="宋体" w:cs="宋体"/>
          <w:b w:val="0"/>
          <w:bCs w:val="0"/>
          <w:color w:val="000000"/>
          <w:kern w:val="1"/>
          <w:sz w:val="32"/>
          <w:szCs w:val="32"/>
          <w:u w:val="single"/>
          <w:lang w:eastAsia="zh-CN"/>
        </w:rPr>
        <w:t xml:space="preserve">              </w:t>
      </w:r>
    </w:p>
    <w:p w14:paraId="659F5AEF">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snapToGrid/>
        <w:spacing w:line="460" w:lineRule="exact"/>
        <w:ind w:firstLine="640" w:firstLineChars="200"/>
        <w:textAlignment w:val="center"/>
        <w:rPr>
          <w:rFonts w:hint="eastAsia" w:ascii="宋体" w:hAnsi="宋体" w:eastAsia="宋体" w:cs="宋体"/>
          <w:b w:val="0"/>
          <w:bCs w:val="0"/>
          <w:color w:val="000000"/>
          <w:sz w:val="32"/>
          <w:szCs w:val="32"/>
          <w:u w:val="none"/>
          <w:lang w:val="en-US" w:eastAsia="zh-CN"/>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2026年8月10日，我局收到河北德诺商品检测技术服务有限公司出具的石家庄深洋商贸有限公司销售的食用农产品小台芒的检验报告，详情为：2026年7月10日，石家庄市新华区市场监督管理局委托河北德诺商品检测技术服务有限公司在开展食品安全监督抽检中对石家庄深洋商贸有限公司销售的小台芒（购进日期：2026-07-09）进行了食品安全监督抽检，《检验报告》（No：DNSPJD26B00721）的检验结论为“经抽样检验，噻虫胺项目不符合GB 2763-2026《食品安全国家标准食品中农药最大残留限量》要求，检验结论为不合格。”本案于2026年8月10日报经主管领导杨宁副局长批准予以立案调查。2026年8月10日，我局执法人员向当事人送达了《检验报告》（检验报告编号No：DNSPJD26B00721）及《检验结果通知书确认收到回执单》，并对当事人的经营场所进行了现场检查，现场未发现抽检不合格批次的小台芒，经现场询问当事人，该批次食用农产品已经销售完毕。当事人在法定期限未内对此次抽检结果提出异议及复检申请。2026年8月20日对当事人进行了询问，案件调查过程中未对当事人采取行政强制措施。</w:t>
      </w:r>
    </w:p>
    <w:p w14:paraId="59560C7D">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snapToGrid/>
        <w:spacing w:line="460" w:lineRule="exact"/>
        <w:ind w:firstLine="640" w:firstLineChars="200"/>
        <w:textAlignment w:val="center"/>
        <w:rPr>
          <w:rFonts w:hint="eastAsia" w:ascii="Times New Roman" w:hAnsi="仿宋_GB2312" w:eastAsia="仿宋_GB2312" w:cs="仿宋_GB2312"/>
          <w:b w:val="0"/>
          <w:bCs w:val="0"/>
          <w:color w:val="000000" w:themeColor="text1"/>
          <w:sz w:val="32"/>
          <w:szCs w:val="32"/>
          <w:lang w:eastAsia="zh-CN"/>
          <w14:textFill>
            <w14:solidFill>
              <w14:schemeClr w14:val="tx1"/>
            </w14:solidFill>
          </w14:textFill>
        </w:rPr>
      </w:pPr>
      <w:r>
        <w:rPr>
          <w:rFonts w:hint="eastAsia" w:ascii="Times New Roman" w:hAnsi="仿宋_GB2312" w:eastAsia="仿宋_GB2312" w:cs="仿宋_GB2312"/>
          <w:b w:val="0"/>
          <w:bCs w:val="0"/>
          <w:color w:val="000000" w:themeColor="text1"/>
          <w:sz w:val="32"/>
          <w:szCs w:val="32"/>
          <w:lang w:eastAsia="zh-CN"/>
          <w14:textFill>
            <w14:solidFill>
              <w14:schemeClr w14:val="tx1"/>
            </w14:solidFill>
          </w14:textFill>
        </w:rPr>
        <w:t>经查，当事人于2026年7月9日从大河市场购进小台芒一筐72元（包含筐的押金20元已退），净含量5公斤，每公斤10.4元，以微信转账方式支付。2026年7月10日，石家庄市新华区市场监督管理局委托河北德诺商品检测技术服务有限公司在开展食品安全监督抽检中对石家庄深洋商贸有限公司销售的小台芒（购进日期：2026-07-09）进行了食品安全监督抽检，《检验报告》（No：DNSPJD26B00721）的检验结论为“经抽样检验，噻虫胺项目不符合GB 2763-2026《食品安全国家标准食品中农药最大残留限量》要求，检验结论为不合格。”至现场检查，包括2026年7月10日抽检机构以每公斤13.98元的价格买样2.554公斤，涉案产品已销售完毕，总销售额69.9元，获利17.9元，违法所得为17.9元。执法人员向当事人下达了《当场行政处罚决定书》（石新市监当罚[2026]89号），给予当事人警告的行政处罚，并下达了《责令改正通知书》（石新市监责改[2026]681号），责令当事人于2026年8月24日前改正违法行为。2026年8月26日执法人员对当事人的经营场所进行复核检查，随机抽取当事人销售的食用农产品大葱，当事人提供了该产品供货商的营业执照、进货票据和产品合格证明文件，履行了进货查验义务，改正了违法行为。当事人在接到《检验报告》后，在其经营场所张贴了《召回公告》，召回该批次不合格产品，截至目前未发现消费者退货，也未发现消费者因食用该批次不合格产品后发生身体不适的投诉举报。</w:t>
      </w:r>
    </w:p>
    <w:p w14:paraId="11480380">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snapToGrid/>
        <w:spacing w:line="460" w:lineRule="exact"/>
        <w:ind w:firstLine="640" w:firstLineChars="200"/>
        <w:textAlignment w:val="center"/>
        <w:rPr>
          <w:rFonts w:hint="eastAsia" w:ascii="仿宋" w:hAnsi="仿宋" w:eastAsia="仿宋" w:cs="仿宋"/>
          <w:b w:val="0"/>
          <w:bCs w:val="0"/>
          <w:color w:val="000000" w:themeColor="text1"/>
          <w:sz w:val="32"/>
          <w:szCs w:val="32"/>
          <w:lang w:val="en-US" w:eastAsia="zh-CN"/>
          <w14:textFill>
            <w14:solidFill>
              <w14:schemeClr w14:val="tx1"/>
            </w14:solidFill>
          </w14:textFill>
        </w:rPr>
      </w:pPr>
      <w:r>
        <w:rPr>
          <w:rFonts w:hint="eastAsia" w:ascii="仿宋" w:hAnsi="仿宋" w:eastAsia="仿宋" w:cs="仿宋"/>
          <w:b w:val="0"/>
          <w:bCs w:val="0"/>
          <w:color w:val="000000" w:themeColor="text1"/>
          <w:sz w:val="32"/>
          <w:szCs w:val="32"/>
          <w:lang w:val="en-US" w:eastAsia="zh-CN"/>
          <w14:textFill>
            <w14:solidFill>
              <w14:schemeClr w14:val="tx1"/>
            </w14:solidFill>
          </w14:textFill>
        </w:rPr>
        <w:t>上述事实，主要有以下证据证明：</w:t>
      </w:r>
    </w:p>
    <w:p w14:paraId="29DBF42E">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snapToGrid/>
        <w:spacing w:line="460" w:lineRule="exact"/>
        <w:ind w:firstLine="640" w:firstLineChars="200"/>
        <w:textAlignment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河北德诺商品检测技术服务有限公司出具的《食品安全抽样检验抽样单》、《检验报告》（编号No：DNSPJD26B00721）及达回证各1份，《检验结果通知书确认收到回执单》1份，证明当事人销售不合格食用农产品的事实及当事人已在规定时间内收到检验报告并知悉自身相关权利；</w:t>
      </w:r>
    </w:p>
    <w:p w14:paraId="49A74864">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snapToGrid/>
        <w:spacing w:line="460" w:lineRule="exact"/>
        <w:ind w:firstLine="640" w:firstLineChars="200"/>
        <w:textAlignment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2、2026年8月10日现场笔录1份，现场照片2张，证明涉案产品已销售完毕，且当事人未履行进货查验义务的事实； </w:t>
      </w:r>
    </w:p>
    <w:p w14:paraId="706207ED">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snapToGrid/>
        <w:spacing w:line="460" w:lineRule="exact"/>
        <w:ind w:firstLine="640" w:firstLineChars="200"/>
        <w:textAlignment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3、询问笔录1份 ，微信转账截图1份，证明当事人销售不符合食品安全标准食品农产品的数量、购销价格及违法所得等情况；</w:t>
      </w:r>
    </w:p>
    <w:p w14:paraId="6CE73644">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snapToGrid/>
        <w:spacing w:line="460" w:lineRule="exact"/>
        <w:ind w:firstLine="640" w:firstLineChars="200"/>
        <w:textAlignment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4、当事人的《营业执照》、《食品经营许可证》以及法定代表人身份证复印件各1份 ，证明当事人的主体身份；  </w:t>
      </w:r>
    </w:p>
    <w:p w14:paraId="27DD551E">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snapToGrid/>
        <w:spacing w:line="460" w:lineRule="exact"/>
        <w:ind w:firstLine="640" w:firstLineChars="200"/>
        <w:textAlignment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5、当事人提供的在其经营场所张贴的《召回公告》照片1张和整改报告各1份，证明当事人收到不合格报告后采取措施主动召回不合格批次小台芒及积极进行整改的情况；</w:t>
      </w:r>
    </w:p>
    <w:p w14:paraId="224C3E2C">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snapToGrid/>
        <w:spacing w:line="460" w:lineRule="exact"/>
        <w:ind w:firstLine="640" w:firstLineChars="200"/>
        <w:textAlignment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6、送达回证，证明向当事人送达了《询问通知书》、《责令改正通知书》、《当场处罚决定书》；</w:t>
      </w:r>
    </w:p>
    <w:p w14:paraId="0CAA1155">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snapToGrid/>
        <w:spacing w:line="460" w:lineRule="exact"/>
        <w:ind w:firstLine="640" w:firstLineChars="200"/>
        <w:textAlignment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7、2026年8月26日复核检查现场笔录1份，及当事人提供的大葱的进货票据、供货商资质及检验报告复印件各1份，证明当事人履行了进货查验制度，已改正违法行为。</w:t>
      </w:r>
    </w:p>
    <w:p w14:paraId="41CA4019">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snapToGrid/>
        <w:spacing w:line="460" w:lineRule="exact"/>
        <w:ind w:firstLine="640" w:firstLineChars="200"/>
        <w:textAlignment w:val="center"/>
        <w:rPr>
          <w:rFonts w:hint="eastAsia" w:ascii="仿宋_GB2312" w:hAnsi="宋体" w:eastAsia="仿宋_GB2312" w:cs="仿宋_GB2312"/>
          <w:b w:val="0"/>
          <w:bCs w:val="0"/>
          <w:i w:val="0"/>
          <w:iCs w:val="0"/>
          <w:caps w:val="0"/>
          <w:color w:val="000000" w:themeColor="text1"/>
          <w:spacing w:val="0"/>
          <w:sz w:val="32"/>
          <w:szCs w:val="32"/>
          <w:lang w:val="en-US" w:eastAsia="zh-CN"/>
          <w14:textFill>
            <w14:solidFill>
              <w14:schemeClr w14:val="tx1"/>
            </w14:solidFill>
          </w14:textFill>
        </w:rPr>
      </w:pPr>
      <w:r>
        <w:rPr>
          <w:rFonts w:hint="eastAsia" w:ascii="仿宋_GB2312" w:hAnsi="宋体" w:eastAsia="仿宋_GB2312" w:cs="仿宋_GB2312"/>
          <w:b w:val="0"/>
          <w:bCs w:val="0"/>
          <w:i w:val="0"/>
          <w:iCs w:val="0"/>
          <w:caps w:val="0"/>
          <w:color w:val="000000" w:themeColor="text1"/>
          <w:spacing w:val="0"/>
          <w:sz w:val="32"/>
          <w:szCs w:val="32"/>
          <w:lang w:val="en-US" w:eastAsia="zh-CN"/>
          <w14:textFill>
            <w14:solidFill>
              <w14:schemeClr w14:val="tx1"/>
            </w14:solidFill>
          </w14:textFill>
        </w:rPr>
        <w:t>以上证据，均由当事人签字或盖章确认。</w:t>
      </w:r>
    </w:p>
    <w:p w14:paraId="326BB47D">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snapToGrid/>
        <w:spacing w:line="460" w:lineRule="exact"/>
        <w:ind w:firstLine="640" w:firstLineChars="200"/>
        <w:textAlignment w:val="center"/>
        <w:rPr>
          <w:rFonts w:hint="eastAsia" w:ascii="仿宋_GB2312" w:hAnsi="宋体" w:eastAsia="仿宋_GB2312" w:cs="仿宋_GB2312"/>
          <w:b w:val="0"/>
          <w:bCs w:val="0"/>
          <w:i w:val="0"/>
          <w:iCs w:val="0"/>
          <w:caps w:val="0"/>
          <w:color w:val="000000" w:themeColor="text1"/>
          <w:spacing w:val="0"/>
          <w:sz w:val="32"/>
          <w:szCs w:val="32"/>
          <w:lang w:val="en-US" w:eastAsia="zh-CN"/>
          <w14:textFill>
            <w14:solidFill>
              <w14:schemeClr w14:val="tx1"/>
            </w14:solidFill>
          </w14:textFill>
        </w:rPr>
      </w:pPr>
      <w:r>
        <w:rPr>
          <w:rFonts w:hint="eastAsia" w:ascii="仿宋_GB2312" w:hAnsi="宋体" w:eastAsia="仿宋_GB2312" w:cs="仿宋_GB2312"/>
          <w:b w:val="0"/>
          <w:bCs w:val="0"/>
          <w:i w:val="0"/>
          <w:iCs w:val="0"/>
          <w:caps w:val="0"/>
          <w:color w:val="000000" w:themeColor="text1"/>
          <w:spacing w:val="0"/>
          <w:sz w:val="32"/>
          <w:szCs w:val="32"/>
          <w:lang w:val="en-US" w:eastAsia="zh-CN"/>
          <w14:textFill>
            <w14:solidFill>
              <w14:schemeClr w14:val="tx1"/>
            </w14:solidFill>
          </w14:textFill>
        </w:rPr>
        <w:t>2026年9月4日，我局向当事人送达了石新市监罚告【2026】120号《行政处罚告知书》，当事人在法定期限内未提出陈述申辩，也未要求举行听证。</w:t>
      </w:r>
    </w:p>
    <w:p w14:paraId="1C50B408">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snapToGrid/>
        <w:spacing w:line="460" w:lineRule="exact"/>
        <w:ind w:firstLine="640" w:firstLineChars="200"/>
        <w:textAlignment w:val="center"/>
        <w:rPr>
          <w:rFonts w:hint="eastAsia" w:ascii="Times New Roman" w:hAnsi="Times New Roman" w:eastAsia="仿宋_GB2312" w:cs="仿宋_GB2312"/>
          <w:b w:val="0"/>
          <w:bCs w:val="0"/>
          <w:color w:val="000000" w:themeColor="text1"/>
          <w:sz w:val="32"/>
          <w:szCs w:val="32"/>
          <w:u w:val="none"/>
          <w:lang w:eastAsia="zh-CN"/>
          <w14:textFill>
            <w14:solidFill>
              <w14:schemeClr w14:val="tx1"/>
            </w14:solidFill>
          </w14:textFill>
        </w:rPr>
      </w:pPr>
      <w:r>
        <w:rPr>
          <w:rFonts w:hint="eastAsia" w:ascii="Times New Roman" w:hAnsi="Times New Roman" w:eastAsia="仿宋_GB2312" w:cs="仿宋_GB2312"/>
          <w:b w:val="0"/>
          <w:bCs w:val="0"/>
          <w:color w:val="000000" w:themeColor="text1"/>
          <w:sz w:val="32"/>
          <w:szCs w:val="32"/>
          <w:u w:val="none"/>
          <w:lang w:eastAsia="zh-CN"/>
          <w14:textFill>
            <w14:solidFill>
              <w14:schemeClr w14:val="tx1"/>
            </w14:solidFill>
          </w14:textFill>
        </w:rPr>
        <w:t>当事人销售不符合食品安全标准的食用农产品，其行为涉嫌违反了《食用农产品市场销售质量安全监督管理办法》（2023年12月1日实施）第十五条第一款“禁止销售者采购、销售食品安全法第三十四条规定情形的食用农产品”，及《中华人民共和国食品安全法》（2025年12月1日实施）第三十四条第（二）项“禁止生产经营下列食品、食品添加剂、食品相关产品：（二）致病性微生物，农药残留、兽药残留、生物毒素、重金属等污染物质以及其他危害人体健康的物质含量超过食品安全标准限量的食品、食品添加剂、食品相关产品”的规定，属于销售农药残留含量超过食品安全标准限量的食用农产品的行为。</w:t>
      </w:r>
    </w:p>
    <w:p w14:paraId="4A66F655">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snapToGrid/>
        <w:spacing w:line="460" w:lineRule="exact"/>
        <w:ind w:firstLine="640" w:firstLineChars="200"/>
        <w:textAlignment w:val="center"/>
        <w:rPr>
          <w:rFonts w:hint="eastAsia" w:ascii="宋体" w:hAnsi="宋体" w:eastAsia="宋体" w:cs="宋体"/>
          <w:b w:val="0"/>
          <w:bCs w:val="0"/>
          <w:color w:val="000000"/>
          <w:kern w:val="2"/>
          <w:sz w:val="32"/>
          <w:szCs w:val="32"/>
          <w:u w:val="none"/>
        </w:rPr>
      </w:pPr>
      <w:r>
        <w:rPr>
          <w:rFonts w:hint="eastAsia" w:ascii="仿宋" w:hAnsi="仿宋" w:eastAsia="仿宋" w:cs="仿宋"/>
          <w:sz w:val="32"/>
          <w:szCs w:val="32"/>
          <w:lang w:eastAsia="zh-CN"/>
        </w:rPr>
        <w:t>鉴于当事人销售该批次不合格小台芒货值较少，销售后未发生食品安全事故，当事人能积极配合执法人员调查，如实陈述违法事实，积极作出整改，主动减轻违法行为危害后果，且经营规模不大，对法律法规学习不够，为了进一步优化营商环境，本着处罚与教育相结合，行政处罚与违法事实、性质、情节以及社会危害程度相当，依据《河北省市场监督管理系统行政处罚裁量权适用规则》第十五条“当事人有下列情形之一，可以依法从轻或者减轻行政处罚：（二）积极配合市场监督管理机关调查，如实陈述违法事实并主动提供证据材料的；（三）违法行为轻微，社会危害性较小的”的规定，按照过罚相当、综合裁量原则，符合相关法律法规减轻行政处罚的情形，决定</w:t>
      </w:r>
      <w:r>
        <w:rPr>
          <w:rFonts w:hint="eastAsia" w:ascii="仿宋" w:hAnsi="仿宋" w:eastAsia="仿宋" w:cs="仿宋"/>
          <w:sz w:val="32"/>
          <w:szCs w:val="32"/>
        </w:rPr>
        <w:t>对当事人给予减轻行政处罚。</w:t>
      </w:r>
    </w:p>
    <w:p w14:paraId="5747B4FB">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val="0"/>
        <w:snapToGrid/>
        <w:spacing w:line="460" w:lineRule="exact"/>
        <w:ind w:firstLine="640" w:firstLineChars="200"/>
        <w:textAlignment w:val="center"/>
        <w:rPr>
          <w:rFonts w:hint="eastAsia" w:ascii="宋体" w:hAnsi="宋体" w:eastAsia="宋体" w:cs="宋体"/>
          <w:b w:val="0"/>
          <w:bCs w:val="0"/>
          <w:color w:val="000000"/>
          <w:sz w:val="32"/>
          <w:szCs w:val="32"/>
        </w:rPr>
      </w:pPr>
      <w:r>
        <w:rPr>
          <w:rFonts w:hint="eastAsia" w:ascii="仿宋" w:hAnsi="仿宋" w:eastAsia="仿宋" w:cs="仿宋"/>
          <w:i w:val="0"/>
          <w:iCs w:val="0"/>
          <w:caps w:val="0"/>
          <w:color w:val="000000"/>
          <w:spacing w:val="0"/>
          <w:kern w:val="0"/>
          <w:sz w:val="32"/>
          <w:szCs w:val="32"/>
          <w:u w:val="none"/>
          <w:lang w:val="en-US" w:eastAsia="zh-CN" w:bidi="ar"/>
        </w:rPr>
        <w:t>依据《食用农产品市场销售质量安全监督管理办法》（2023年12月1日实施）第四十二条：“销售者违反本办法第十五条规定，采购、销售食品安全法第三十四条规定情形的食用农产品的，由县级以上市场监督管理部门依照食品安全法有关规定给予处罚”的规定及《中华人民共和国食品安全法》（2025年12月1日实施）第一百二十四条第一款第（一）项：“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的罚款；情节严重的，吊销许可证：（一）生产经营致病性微生物，农药残留、兽药残留、生物毒素、重金属等污染物质以及其他危害人体健康的物质含量超过食品安全标准限量的食品、食品添加剂；”的规定。依据《中华人民共和国行政处罚法》第五条第二款“设定和实施行政处罚必须以事实为依据，与违法行为的事实、性质、情节以及社会危害程度相当”、第六条“实施行政处罚，纠正违法行为，应当坚持处罚与教育相结合，教育公民、法人或者其他组织自觉守法”、第三十二条“当事人有下列情形之一，应当从轻或者减轻行政处罚：（五）“法律、法规、规章规定的其他应当从轻或者减轻行政处罚的”的规定。以及《河北省市场监督管理系统行政处罚裁量权适用规则》第九条：“实施行政处罚，应当明确区分减轻行政处罚、从轻行政处罚、一般行政处罚、从重行政处罚的不同情况，准确行使处罚裁量权：（一）减轻行政处罚是指适用法定行政处罚最低限度以下的行政处罚种类或者行政处罚幅度。包括在违法行为应当受到的一种或者几种行政处罚种类之外选择更轻的行政处罚种类，或者在应当并处时不并处；也包括在法定最低罚款数额以下确定罚款数额”的规定，责令当事人改正其违法行为，决定对当事人作行政处罚如下：1、没收违法所得17.9元；2、罚款3000元。</w:t>
      </w:r>
    </w:p>
    <w:p w14:paraId="16BFF0E0">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val="0"/>
        <w:snapToGrid/>
        <w:spacing w:line="460" w:lineRule="exact"/>
        <w:ind w:firstLine="640" w:firstLineChars="200"/>
        <w:textAlignment w:val="cente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pPr>
      <w: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t>当事人应当在接到本处罚决定书之日起15日内履行本决定。应到河北银行新华路支行（地址：新华路</w:t>
      </w:r>
      <w:r>
        <w:rPr>
          <w:rFonts w:hint="eastAsia" w:ascii="仿宋" w:hAnsi="仿宋" w:eastAsia="仿宋" w:cs="仿宋"/>
          <w:b w:val="0"/>
          <w:bCs w:val="0"/>
          <w:color w:val="000000" w:themeColor="text1"/>
          <w:kern w:val="2"/>
          <w:sz w:val="32"/>
          <w:szCs w:val="32"/>
          <w:u w:val="none"/>
          <w:lang w:val="en-US" w:eastAsia="zh-CN"/>
          <w14:textFill>
            <w14:solidFill>
              <w14:schemeClr w14:val="tx1"/>
            </w14:solidFill>
          </w14:textFill>
        </w:rPr>
        <w:t>172号；</w:t>
      </w:r>
      <w: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t>账户：石家庄市新华区财政局；账号：01281800000112）缴纳罚款。逾期不缴纳，每日按罚款数额的3%加处罚款。</w:t>
      </w:r>
      <w:r>
        <w:rPr>
          <w:rFonts w:hint="eastAsia" w:ascii="仿宋" w:hAnsi="仿宋" w:eastAsia="仿宋" w:cs="仿宋"/>
          <w:b w:val="0"/>
          <w:bCs w:val="0"/>
          <w:color w:val="000000" w:themeColor="text1"/>
          <w:kern w:val="2"/>
          <w:sz w:val="32"/>
          <w:szCs w:val="32"/>
          <w:u w:val="none"/>
          <w:lang w:val="en-US" w:eastAsia="zh-CN"/>
          <w14:textFill>
            <w14:solidFill>
              <w14:schemeClr w14:val="tx1"/>
            </w14:solidFill>
          </w14:textFill>
        </w:rPr>
        <w:t xml:space="preserve">  </w:t>
      </w:r>
      <w: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t xml:space="preserve"> </w:t>
      </w:r>
    </w:p>
    <w:p w14:paraId="23478C96">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val="0"/>
        <w:snapToGrid/>
        <w:spacing w:line="460" w:lineRule="exact"/>
        <w:ind w:firstLine="640" w:firstLineChars="200"/>
        <w:textAlignment w:val="cente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pPr>
      <w: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t xml:space="preserve">当事人对本处罚决定如有不服，可在接到本处罚决定书之日起六十日内，向新华区人民政府申请行政复议，也可于六个月内向新华区人民法院提起行政诉讼。当事人对行政处罚不服申请行政复议或提起行政诉讼的，行政处罚不停止执行。 </w:t>
      </w:r>
    </w:p>
    <w:p w14:paraId="5DCB90B0">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val="0"/>
        <w:snapToGrid/>
        <w:spacing w:line="460" w:lineRule="exact"/>
        <w:ind w:firstLine="640" w:firstLineChars="200"/>
        <w:textAlignment w:val="center"/>
        <w:rPr>
          <w:rFonts w:hint="eastAsia" w:ascii="仿宋" w:hAnsi="仿宋" w:eastAsia="仿宋" w:cs="仿宋"/>
          <w:b w:val="0"/>
          <w:bCs w:val="0"/>
          <w:color w:val="000000" w:themeColor="text1"/>
          <w:kern w:val="2"/>
          <w:sz w:val="32"/>
          <w:szCs w:val="32"/>
          <w:u w:val="none"/>
          <w:lang w:val="en-US" w:eastAsia="zh-CN"/>
          <w14:textFill>
            <w14:solidFill>
              <w14:schemeClr w14:val="tx1"/>
            </w14:solidFill>
          </w14:textFill>
        </w:rPr>
      </w:pPr>
      <w: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t>罚没许可证号：</w:t>
      </w:r>
      <w:r>
        <w:rPr>
          <w:rFonts w:hint="eastAsia" w:ascii="仿宋" w:hAnsi="仿宋" w:eastAsia="仿宋" w:cs="仿宋"/>
          <w:b w:val="0"/>
          <w:bCs w:val="0"/>
          <w:color w:val="000000" w:themeColor="text1"/>
          <w:kern w:val="2"/>
          <w:sz w:val="32"/>
          <w:szCs w:val="32"/>
          <w:u w:val="none"/>
          <w:lang w:val="en-US" w:eastAsia="zh-CN"/>
          <w14:textFill>
            <w14:solidFill>
              <w14:schemeClr w14:val="tx1"/>
            </w14:solidFill>
          </w14:textFill>
        </w:rPr>
        <w:t>02-21-0020号</w:t>
      </w:r>
    </w:p>
    <w:p w14:paraId="139DD72B">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val="0"/>
        <w:snapToGrid/>
        <w:spacing w:line="460" w:lineRule="exact"/>
        <w:ind w:firstLine="640" w:firstLineChars="200"/>
        <w:textAlignment w:val="center"/>
        <w:rPr>
          <w:rFonts w:hint="eastAsia" w:ascii="仿宋" w:hAnsi="仿宋" w:eastAsia="仿宋" w:cs="仿宋"/>
          <w:b w:val="0"/>
          <w:bCs w:val="0"/>
          <w:color w:val="000000" w:themeColor="text1"/>
          <w:kern w:val="2"/>
          <w:sz w:val="32"/>
          <w:szCs w:val="32"/>
          <w:u w:val="none"/>
          <w:lang w:val="en-US" w:eastAsia="zh-CN"/>
          <w14:textFill>
            <w14:solidFill>
              <w14:schemeClr w14:val="tx1"/>
            </w14:solidFill>
          </w14:textFill>
        </w:rPr>
      </w:pPr>
    </w:p>
    <w:p w14:paraId="35AE86A5">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val="0"/>
        <w:snapToGrid/>
        <w:spacing w:line="460" w:lineRule="exact"/>
        <w:textAlignment w:val="center"/>
        <w:rPr>
          <w:rFonts w:hint="eastAsia" w:ascii="仿宋" w:hAnsi="仿宋" w:eastAsia="仿宋" w:cs="仿宋"/>
          <w:b w:val="0"/>
          <w:bCs w:val="0"/>
          <w:color w:val="000000" w:themeColor="text1"/>
          <w:kern w:val="2"/>
          <w:sz w:val="32"/>
          <w:szCs w:val="32"/>
          <w:u w:val="none"/>
          <w:lang w:val="en-US" w:eastAsia="zh-CN"/>
          <w14:textFill>
            <w14:solidFill>
              <w14:schemeClr w14:val="tx1"/>
            </w14:solidFill>
          </w14:textFill>
        </w:rPr>
      </w:pPr>
    </w:p>
    <w:p w14:paraId="604E2901">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val="0"/>
        <w:snapToGrid/>
        <w:spacing w:line="460" w:lineRule="exact"/>
        <w:textAlignment w:val="center"/>
        <w:rPr>
          <w:rFonts w:hint="eastAsia" w:ascii="仿宋" w:hAnsi="仿宋" w:eastAsia="仿宋" w:cs="仿宋"/>
          <w:b w:val="0"/>
          <w:bCs w:val="0"/>
          <w:color w:val="000000" w:themeColor="text1"/>
          <w:kern w:val="2"/>
          <w:sz w:val="32"/>
          <w:szCs w:val="32"/>
          <w:u w:val="none"/>
          <w:lang w:val="en-US" w:eastAsia="zh-CN"/>
          <w14:textFill>
            <w14:solidFill>
              <w14:schemeClr w14:val="tx1"/>
            </w14:solidFill>
          </w14:textFill>
        </w:rPr>
      </w:pPr>
    </w:p>
    <w:p w14:paraId="6C08DD79">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val="0"/>
        <w:snapToGrid/>
        <w:spacing w:line="460" w:lineRule="exact"/>
        <w:ind w:firstLine="640" w:firstLineChars="200"/>
        <w:textAlignment w:val="center"/>
        <w:rPr>
          <w:rFonts w:hint="eastAsia" w:ascii="仿宋" w:hAnsi="仿宋" w:eastAsia="仿宋" w:cs="仿宋"/>
          <w:b w:val="0"/>
          <w:bCs w:val="0"/>
          <w:color w:val="000000" w:themeColor="text1"/>
          <w:kern w:val="2"/>
          <w:sz w:val="32"/>
          <w:szCs w:val="32"/>
          <w:u w:val="none"/>
          <w:lang w:val="en-US" w:eastAsia="zh-CN"/>
          <w14:textFill>
            <w14:solidFill>
              <w14:schemeClr w14:val="tx1"/>
            </w14:solidFill>
          </w14:textFill>
        </w:rPr>
      </w:pPr>
    </w:p>
    <w:p w14:paraId="06CA7096">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val="0"/>
        <w:snapToGrid/>
        <w:spacing w:line="460" w:lineRule="exact"/>
        <w:ind w:firstLine="640" w:firstLineChars="200"/>
        <w:textAlignment w:val="cente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pPr>
      <w: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t xml:space="preserve">                </w:t>
      </w:r>
      <w:r>
        <w:rPr>
          <w:rFonts w:hint="eastAsia" w:ascii="仿宋" w:hAnsi="仿宋" w:eastAsia="仿宋" w:cs="仿宋"/>
          <w:b w:val="0"/>
          <w:bCs w:val="0"/>
          <w:color w:val="000000" w:themeColor="text1"/>
          <w:kern w:val="2"/>
          <w:sz w:val="32"/>
          <w:szCs w:val="32"/>
          <w:u w:val="none"/>
          <w:lang w:val="en-US" w:eastAsia="zh-CN"/>
          <w14:textFill>
            <w14:solidFill>
              <w14:schemeClr w14:val="tx1"/>
            </w14:solidFill>
          </w14:textFill>
        </w:rPr>
        <w:t xml:space="preserve">   </w:t>
      </w:r>
      <w: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t>石家庄市新华区市场监督管理局</w:t>
      </w:r>
    </w:p>
    <w:p w14:paraId="7EE5BDB0">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val="0"/>
        <w:snapToGrid/>
        <w:spacing w:line="460" w:lineRule="exact"/>
        <w:ind w:firstLine="640" w:firstLineChars="200"/>
        <w:textAlignment w:val="cente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pPr>
      <w: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t xml:space="preserve"> </w:t>
      </w:r>
      <w:r>
        <w:rPr>
          <w:rFonts w:hint="eastAsia" w:ascii="仿宋" w:hAnsi="仿宋" w:eastAsia="仿宋" w:cs="仿宋"/>
          <w:b w:val="0"/>
          <w:bCs w:val="0"/>
          <w:color w:val="000000" w:themeColor="text1"/>
          <w:kern w:val="2"/>
          <w:sz w:val="32"/>
          <w:szCs w:val="32"/>
          <w:u w:val="none"/>
          <w:lang w:val="en-US" w:eastAsia="zh-CN"/>
          <w14:textFill>
            <w14:solidFill>
              <w14:schemeClr w14:val="tx1"/>
            </w14:solidFill>
          </w14:textFill>
        </w:rPr>
        <w:t xml:space="preserve">                          </w:t>
      </w:r>
      <w: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t>202</w:t>
      </w:r>
      <w:r>
        <w:rPr>
          <w:rFonts w:hint="eastAsia" w:ascii="仿宋" w:hAnsi="仿宋" w:eastAsia="仿宋" w:cs="仿宋"/>
          <w:b w:val="0"/>
          <w:bCs w:val="0"/>
          <w:color w:val="000000" w:themeColor="text1"/>
          <w:kern w:val="2"/>
          <w:sz w:val="32"/>
          <w:szCs w:val="32"/>
          <w:u w:val="none"/>
          <w:lang w:val="en-US" w:eastAsia="zh-CN"/>
          <w14:textFill>
            <w14:solidFill>
              <w14:schemeClr w14:val="tx1"/>
            </w14:solidFill>
          </w14:textFill>
        </w:rPr>
        <w:t>6</w:t>
      </w:r>
      <w: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t>年</w:t>
      </w:r>
      <w:r>
        <w:rPr>
          <w:rFonts w:hint="eastAsia" w:ascii="仿宋" w:hAnsi="仿宋" w:eastAsia="仿宋" w:cs="仿宋"/>
          <w:b w:val="0"/>
          <w:bCs w:val="0"/>
          <w:color w:val="000000" w:themeColor="text1"/>
          <w:kern w:val="2"/>
          <w:sz w:val="32"/>
          <w:szCs w:val="32"/>
          <w:u w:val="none"/>
          <w:lang w:val="en-US" w:eastAsia="zh-CN"/>
          <w14:textFill>
            <w14:solidFill>
              <w14:schemeClr w14:val="tx1"/>
            </w14:solidFill>
          </w14:textFill>
        </w:rPr>
        <w:t xml:space="preserve"> 9 </w:t>
      </w:r>
      <w: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t>月</w:t>
      </w:r>
      <w:r>
        <w:rPr>
          <w:rFonts w:hint="eastAsia" w:ascii="仿宋" w:hAnsi="仿宋" w:eastAsia="仿宋" w:cs="仿宋"/>
          <w:b w:val="0"/>
          <w:bCs w:val="0"/>
          <w:color w:val="000000" w:themeColor="text1"/>
          <w:kern w:val="2"/>
          <w:sz w:val="32"/>
          <w:szCs w:val="32"/>
          <w:u w:val="none"/>
          <w:lang w:val="en-US" w:eastAsia="zh-CN"/>
          <w14:textFill>
            <w14:solidFill>
              <w14:schemeClr w14:val="tx1"/>
            </w14:solidFill>
          </w14:textFill>
        </w:rPr>
        <w:t xml:space="preserve"> </w:t>
      </w:r>
      <w:bookmarkStart w:id="0" w:name="_GoBack"/>
      <w:bookmarkEnd w:id="0"/>
      <w:r>
        <w:rPr>
          <w:rFonts w:hint="eastAsia" w:ascii="仿宋" w:hAnsi="仿宋" w:eastAsia="仿宋" w:cs="仿宋"/>
          <w:b w:val="0"/>
          <w:bCs w:val="0"/>
          <w:color w:val="000000" w:themeColor="text1"/>
          <w:kern w:val="2"/>
          <w:sz w:val="32"/>
          <w:szCs w:val="32"/>
          <w:u w:val="none"/>
          <w:lang w:val="en-US" w:eastAsia="zh-CN"/>
          <w14:textFill>
            <w14:solidFill>
              <w14:schemeClr w14:val="tx1"/>
            </w14:solidFill>
          </w14:textFill>
        </w:rPr>
        <w:t>21</w:t>
      </w:r>
      <w: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t xml:space="preserve">日  </w:t>
      </w:r>
    </w:p>
    <w:p w14:paraId="6CC271EC">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val="0"/>
        <w:snapToGrid/>
        <w:spacing w:line="500" w:lineRule="exact"/>
        <w:ind w:firstLine="640" w:firstLineChars="200"/>
        <w:textAlignment w:val="cente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pPr>
    </w:p>
    <w:p w14:paraId="6DE3D0A6">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val="0"/>
        <w:snapToGrid/>
        <w:spacing w:line="500" w:lineRule="exact"/>
        <w:ind w:firstLine="640" w:firstLineChars="200"/>
        <w:textAlignment w:val="cente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pPr>
    </w:p>
    <w:p w14:paraId="3CB95ECA">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val="0"/>
        <w:snapToGrid/>
        <w:spacing w:line="500" w:lineRule="exact"/>
        <w:ind w:firstLine="640" w:firstLineChars="200"/>
        <w:textAlignment w:val="cente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pPr>
    </w:p>
    <w:p w14:paraId="26EBE30E">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val="0"/>
        <w:snapToGrid/>
        <w:spacing w:line="500" w:lineRule="exact"/>
        <w:ind w:firstLine="640" w:firstLineChars="200"/>
        <w:textAlignment w:val="cente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pPr>
    </w:p>
    <w:p w14:paraId="2303AF2E">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val="0"/>
        <w:snapToGrid/>
        <w:spacing w:line="500" w:lineRule="exact"/>
        <w:ind w:firstLine="640" w:firstLineChars="200"/>
        <w:textAlignment w:val="cente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pPr>
    </w:p>
    <w:p w14:paraId="1EF425B5">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val="0"/>
        <w:snapToGrid/>
        <w:spacing w:line="500" w:lineRule="exact"/>
        <w:ind w:firstLine="640" w:firstLineChars="200"/>
        <w:textAlignment w:val="cente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pPr>
    </w:p>
    <w:p w14:paraId="12517BCE">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val="0"/>
        <w:snapToGrid/>
        <w:spacing w:line="500" w:lineRule="exact"/>
        <w:ind w:firstLine="640" w:firstLineChars="200"/>
        <w:textAlignment w:val="center"/>
        <w:rPr>
          <w:rFonts w:hint="eastAsia" w:ascii="仿宋" w:hAnsi="仿宋" w:eastAsia="仿宋" w:cs="仿宋"/>
          <w:b w:val="0"/>
          <w:bCs w:val="0"/>
          <w:color w:val="000000" w:themeColor="text1"/>
          <w:kern w:val="2"/>
          <w:sz w:val="32"/>
          <w:szCs w:val="32"/>
          <w:u w:val="none"/>
          <w:lang w:val="en-US" w:eastAsia="zh-CN"/>
          <w14:textFill>
            <w14:solidFill>
              <w14:schemeClr w14:val="tx1"/>
            </w14:solidFill>
          </w14:textFill>
        </w:rPr>
      </w:pPr>
      <w: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t>（市场监督管理部门将依法向社会公开行政处罚决定信息）</w:t>
      </w:r>
    </w:p>
    <w:p w14:paraId="1EE867B2">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val="0"/>
        <w:bidi w:val="0"/>
        <w:adjustRightInd w:val="0"/>
        <w:snapToGrid/>
        <w:spacing w:line="500" w:lineRule="exact"/>
        <w:ind w:firstLine="640" w:firstLineChars="200"/>
        <w:textAlignment w:val="cente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pPr>
      <w:r>
        <w:rPr>
          <w:rFonts w:hint="eastAsia" w:ascii="仿宋" w:hAnsi="仿宋" w:eastAsia="仿宋" w:cs="仿宋"/>
          <w:b w:val="0"/>
          <w:bCs w:val="0"/>
          <w:color w:val="000000" w:themeColor="text1"/>
          <w:kern w:val="2"/>
          <w:sz w:val="32"/>
          <w:szCs w:val="32"/>
          <w:u w:val="none"/>
          <w:lang w:val="en-US" w:eastAsia="zh-CN"/>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align>center</wp:align>
                </wp:positionH>
                <wp:positionV relativeFrom="paragraph">
                  <wp:posOffset>-2540</wp:posOffset>
                </wp:positionV>
                <wp:extent cx="5550535" cy="635"/>
                <wp:effectExtent l="0" t="0" r="0" b="0"/>
                <wp:wrapNone/>
                <wp:docPr id="3" name="直接连接符 2"/>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alpha val="100000"/>
                            </a:srgbClr>
                          </a:solidFill>
                          <a:prstDash val="solid"/>
                          <a:headEnd type="none" w="med" len="med"/>
                          <a:tailEnd type="none" w="med" len="med"/>
                        </a:ln>
                      </wps:spPr>
                      <wps:bodyPr upright="1"/>
                    </wps:wsp>
                  </a:graphicData>
                </a:graphic>
              </wp:anchor>
            </w:drawing>
          </mc:Choice>
          <mc:Fallback>
            <w:pict>
              <v:line id="直接连接符 2" o:spid="_x0000_s1026" o:spt="20" style="position:absolute;left:0pt;margin-top:-0.2pt;height:0.05pt;width:437.05pt;mso-position-horizontal:center;z-index:251661312;mso-width-relative:page;mso-height-relative:page;" filled="f" stroked="t" coordsize="21600,21600" o:gfxdata="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qdBoa1AAAAAQBAAAPAAAAAAAAAAEAIAAAACIAAABkcnMvZG93bnJl&#10;di54bWxQSwECFAAUAAAACACHTuJAAe7o/QECAAAJBAAADgAAAAAAAAABACAAAAAjAQAAZHJzL2Uy&#10;b0RvYy54bWxQSwUGAAAAAAYABgBZAQAAlgUAAAAA&#10;">
                <v:fill on="f" focussize="0,0"/>
                <v:stroke weight="1.25pt" color="#000000" joinstyle="round"/>
                <v:imagedata o:title=""/>
                <o:lock v:ext="edit" aspectratio="f"/>
              </v:line>
            </w:pict>
          </mc:Fallback>
        </mc:AlternateContent>
      </w:r>
      <w:r>
        <w:rPr>
          <w:rFonts w:hint="eastAsia" w:ascii="仿宋" w:hAnsi="仿宋" w:eastAsia="仿宋" w:cs="仿宋"/>
          <w:b w:val="0"/>
          <w:bCs w:val="0"/>
          <w:color w:val="000000" w:themeColor="text1"/>
          <w:kern w:val="2"/>
          <w:sz w:val="32"/>
          <w:szCs w:val="32"/>
          <w:u w:val="none"/>
          <w:lang w:val="en-US" w:eastAsia="zh-CN"/>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2" name="直接连接符 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alpha val="100000"/>
                            </a:srgbClr>
                          </a:solidFill>
                          <a:prstDash val="solid"/>
                          <a:headEnd type="none" w="med" len="med"/>
                          <a:tailEnd type="none" w="med" len="med"/>
                        </a:ln>
                      </wps:spPr>
                      <wps:bodyPr upright="1"/>
                    </wps:wsp>
                  </a:graphicData>
                </a:graphic>
              </wp:anchor>
            </w:drawing>
          </mc:Choice>
          <mc:Fallback>
            <w:pict>
              <v:line id="直接连接符 3"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vv85HXAAAACgEAAA8AAAAAAAAAAQAgAAAAIgAAAGRycy9k&#10;b3ducmV2LnhtbFBLAQIUABQAAAAIAIdO4kA05YXNAwIAAAcEAAAOAAAAAAAAAAEAIAAAACYBAABk&#10;cnMvZTJvRG9jLnhtbFBLBQYAAAAABgAGAFkBAACbBQAAAAA=&#10;">
                <v:fill on="f" focussize="0,0"/>
                <v:stroke weight="0.737007874015748pt" color="#000000" joinstyle="round" endcap="square"/>
                <v:imagedata o:title=""/>
                <o:lock v:ext="edit" aspectratio="f"/>
              </v:line>
            </w:pict>
          </mc:Fallback>
        </mc:AlternateContent>
      </w:r>
      <w:r>
        <w:rPr>
          <w:rFonts w:hint="eastAsia" w:ascii="仿宋" w:hAnsi="仿宋" w:eastAsia="仿宋" w:cs="仿宋"/>
          <w:b w:val="0"/>
          <w:bCs w:val="0"/>
          <w:color w:val="000000" w:themeColor="text1"/>
          <w:kern w:val="2"/>
          <w:sz w:val="32"/>
          <w:szCs w:val="32"/>
          <w:u w:val="none"/>
          <w:lang w:eastAsia="zh-CN"/>
          <w14:textFill>
            <w14:solidFill>
              <w14:schemeClr w14:val="tx1"/>
            </w14:solidFill>
          </w14:textFill>
        </w:rPr>
        <w:t>本文书一式三份，一份送达，一份归档，一份备案。</w:t>
      </w:r>
    </w:p>
    <w:sectPr>
      <w:footerReference r:id="rId3" w:type="default"/>
      <w:pgSz w:w="11906" w:h="16838"/>
      <w:pgMar w:top="1440" w:right="1519" w:bottom="1213" w:left="1519"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auto"/>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090D1">
    <w:pPr>
      <w:pStyle w:val="3"/>
    </w:pP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01C1E0F">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wrap="none" lIns="0" tIns="0" rIns="0" bIns="0" upright="1">
                      <a:spAutoFit/>
                    </wps:bodyPr>
                  </wps:wsp>
                </a:graphicData>
              </a:graphic>
            </wp:anchor>
          </w:drawing>
        </mc:Choice>
        <mc:Fallback>
          <w:pict>
            <v:rect id="文本框 4"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EpUdO/EAQAAjwMAAA4AAAAAAAAAAQAgAAAAHwEAAGRycy9lMm9Eb2MueG1s&#10;UEsFBgAAAAAGAAYAWQEAAFUFAAAAAA==&#10;">
              <v:fill on="f" focussize="0,0"/>
              <v:stroke on="f"/>
              <v:imagedata o:title=""/>
              <o:lock v:ext="edit" aspectratio="f"/>
              <v:textbox inset="0mm,0mm,0mm,0mm" style="mso-fit-shape-to-text:t;">
                <w:txbxContent>
                  <w:p w14:paraId="601C1E0F">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E1382"/>
    <w:rsid w:val="0AF37AC9"/>
    <w:rsid w:val="0C28307E"/>
    <w:rsid w:val="0E0D2E33"/>
    <w:rsid w:val="22D91017"/>
    <w:rsid w:val="2BF862D0"/>
    <w:rsid w:val="2C64684A"/>
    <w:rsid w:val="3C284AB4"/>
    <w:rsid w:val="43A64DE7"/>
    <w:rsid w:val="453F6213"/>
    <w:rsid w:val="57BC0797"/>
    <w:rsid w:val="6E5B3213"/>
    <w:rsid w:val="789E2CA8"/>
    <w:rsid w:val="7EC11E1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autoSpaceDE w:val="0"/>
      <w:autoSpaceDN w:val="0"/>
      <w:adjustRightInd w:val="0"/>
      <w:jc w:val="left"/>
    </w:pPr>
    <w:rPr>
      <w:rFonts w:ascii="Arial Unicode MS" w:hAnsi="Times New Roman" w:eastAsia="Arial Unicode MS"/>
      <w:kern w:val="0"/>
      <w:sz w:val="32"/>
      <w:szCs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rPr>
      <w:sz w:val="24"/>
    </w:rPr>
  </w:style>
  <w:style w:type="paragraph" w:customStyle="1" w:styleId="8">
    <w:name w:val="Normal (Web)"/>
    <w:basedOn w:val="1"/>
    <w:qFormat/>
    <w:uiPriority w:val="0"/>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3386</Words>
  <Characters>3672</Characters>
  <Lines>0</Lines>
  <Paragraphs>0</Paragraphs>
  <TotalTime>7</TotalTime>
  <ScaleCrop>false</ScaleCrop>
  <LinksUpToDate>false</LinksUpToDate>
  <CharactersWithSpaces>3999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2019-11-12T10:52:00Z</dcterms:created>
  <dc:creator>Administrator</dc:creator>
  <cp:lastModifiedBy>安慰</cp:lastModifiedBy>
  <cp:lastPrinted>2026-04-20T06:27:00Z</cp:lastPrinted>
  <dcterms:modified xsi:type="dcterms:W3CDTF">2026-09-23T03:40:19Z</dcterms:modified>
  <dc:title>Administrator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80FB3625A4A44E42986EFFCB5E0DE193_13</vt:lpwstr>
  </property>
  <property fmtid="{D5CDD505-2E9C-101B-9397-08002B2CF9AE}" pid="4" name="KSOTemplateDocerSaveRecord">
    <vt:lpwstr>eyJoZGlkIjoiYjU5YmYxZDk3ZjhjZDFhOThlNWEzNjUyMDk3MjJmMzUiLCJ1c2VySWQiOiI0NzE4ODYwMDAifQ==</vt:lpwstr>
  </property>
</Properties>
</file>