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right="0" w:firstLine="0"/>
        <w:jc w:val="center"/>
        <w:textAlignment w:val="auto"/>
        <w:outlineLvl w:val="9"/>
        <w:rPr>
          <w:rFonts w:hint="eastAsia" w:ascii="黑体" w:hAnsi="黑体" w:eastAsia="黑体" w:cs="黑体"/>
          <w:b w:val="0"/>
          <w:bCs/>
          <w:color w:val="auto"/>
          <w:position w:val="0"/>
          <w:sz w:val="44"/>
          <w:szCs w:val="44"/>
          <w:lang w:eastAsia="zh-CN"/>
        </w:rPr>
      </w:pPr>
      <w:r>
        <w:rPr>
          <w:rFonts w:hint="eastAsia" w:ascii="黑体" w:hAnsi="黑体" w:eastAsia="黑体" w:cs="黑体"/>
          <w:b w:val="0"/>
          <w:bCs/>
          <w:color w:val="auto"/>
          <w:position w:val="0"/>
          <w:sz w:val="44"/>
          <w:szCs w:val="44"/>
        </w:rPr>
        <w:t>石家庄</w:t>
      </w:r>
      <w:r>
        <w:rPr>
          <w:rFonts w:hint="eastAsia" w:ascii="黑体" w:hAnsi="黑体" w:eastAsia="黑体" w:cs="黑体"/>
          <w:b w:val="0"/>
          <w:bCs/>
          <w:color w:val="auto"/>
          <w:position w:val="0"/>
          <w:sz w:val="44"/>
          <w:szCs w:val="44"/>
          <w:lang w:eastAsia="zh-CN"/>
        </w:rPr>
        <w:t>市新华</w:t>
      </w:r>
      <w:r>
        <w:rPr>
          <w:rFonts w:hint="eastAsia" w:ascii="黑体" w:hAnsi="黑体" w:eastAsia="黑体" w:cs="黑体"/>
          <w:b w:val="0"/>
          <w:bCs/>
          <w:color w:val="auto"/>
          <w:position w:val="0"/>
          <w:sz w:val="44"/>
          <w:szCs w:val="44"/>
        </w:rPr>
        <w:t>区被征地</w:t>
      </w:r>
      <w:r>
        <w:rPr>
          <w:rFonts w:hint="eastAsia" w:ascii="黑体" w:hAnsi="黑体" w:eastAsia="黑体" w:cs="黑体"/>
          <w:b w:val="0"/>
          <w:bCs/>
          <w:color w:val="auto"/>
          <w:position w:val="0"/>
          <w:sz w:val="44"/>
          <w:szCs w:val="44"/>
          <w:lang w:eastAsia="zh-CN"/>
        </w:rPr>
        <w:t>农民</w:t>
      </w:r>
    </w:p>
    <w:p>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right="0" w:firstLine="0"/>
        <w:jc w:val="center"/>
        <w:textAlignment w:val="auto"/>
        <w:outlineLvl w:val="9"/>
        <w:rPr>
          <w:rFonts w:hint="eastAsia" w:ascii="黑体" w:hAnsi="黑体" w:eastAsia="黑体" w:cs="黑体"/>
          <w:b w:val="0"/>
          <w:bCs/>
          <w:color w:val="auto"/>
          <w:position w:val="0"/>
          <w:sz w:val="44"/>
          <w:szCs w:val="44"/>
          <w:lang w:eastAsia="zh-CN"/>
        </w:rPr>
      </w:pPr>
      <w:r>
        <w:rPr>
          <w:rFonts w:hint="eastAsia" w:ascii="黑体" w:hAnsi="黑体" w:eastAsia="黑体" w:cs="黑体"/>
          <w:b w:val="0"/>
          <w:bCs/>
          <w:color w:val="auto"/>
          <w:position w:val="0"/>
          <w:sz w:val="44"/>
          <w:szCs w:val="44"/>
        </w:rPr>
        <w:t>基本养老保险</w:t>
      </w:r>
      <w:r>
        <w:rPr>
          <w:rFonts w:hint="eastAsia" w:ascii="黑体" w:hAnsi="黑体" w:eastAsia="黑体" w:cs="黑体"/>
          <w:b w:val="0"/>
          <w:bCs/>
          <w:color w:val="auto"/>
          <w:position w:val="0"/>
          <w:sz w:val="44"/>
          <w:szCs w:val="44"/>
          <w:lang w:eastAsia="zh-CN"/>
        </w:rPr>
        <w:t>缴费补贴实施方案</w:t>
      </w:r>
    </w:p>
    <w:p>
      <w:pPr>
        <w:keepNext w:val="0"/>
        <w:keepLines w:val="0"/>
        <w:pageBreakBefore w:val="0"/>
        <w:widowControl/>
        <w:numPr>
          <w:ilvl w:val="0"/>
          <w:numId w:val="0"/>
        </w:numPr>
        <w:kinsoku/>
        <w:wordWrap/>
        <w:overflowPunct/>
        <w:topLinePunct w:val="0"/>
        <w:autoSpaceDE/>
        <w:autoSpaceDN/>
        <w:bidi w:val="0"/>
        <w:adjustRightInd/>
        <w:snapToGrid/>
        <w:spacing w:before="0" w:line="560" w:lineRule="exact"/>
        <w:ind w:right="0" w:firstLine="0"/>
        <w:jc w:val="center"/>
        <w:textAlignment w:val="auto"/>
        <w:outlineLvl w:val="9"/>
        <w:rPr>
          <w:rFonts w:hint="eastAsia" w:ascii="黑体" w:hAnsi="黑体" w:eastAsia="黑体" w:cs="黑体"/>
          <w:b w:val="0"/>
          <w:bCs/>
          <w:color w:val="auto"/>
          <w:position w:val="0"/>
          <w:sz w:val="44"/>
          <w:szCs w:val="44"/>
          <w:lang w:eastAsia="zh-CN"/>
        </w:rPr>
      </w:pPr>
      <w:r>
        <w:rPr>
          <w:rFonts w:hint="eastAsia" w:ascii="楷体" w:hAnsi="楷体" w:eastAsia="楷体" w:cs="楷体"/>
          <w:b w:val="0"/>
          <w:bCs/>
          <w:color w:val="auto"/>
          <w:position w:val="0"/>
          <w:sz w:val="32"/>
          <w:szCs w:val="32"/>
          <w:lang w:eastAsia="zh-CN"/>
        </w:rPr>
        <w:t>（征求意见稿）</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left"/>
        <w:textAlignment w:val="auto"/>
        <w:outlineLvl w:val="9"/>
        <w:rPr>
          <w:rFonts w:hint="eastAsia" w:ascii="仿宋_GB2312" w:hAnsi="仿宋_GB2312" w:eastAsia="仿宋_GB2312" w:cs="仿宋_GB2312"/>
          <w:b w:val="0"/>
          <w:color w:val="FF0000"/>
          <w:position w:val="0"/>
          <w:sz w:val="32"/>
          <w:szCs w:val="32"/>
          <w:highlight w:val="none"/>
          <w:lang w:eastAsia="zh-CN"/>
        </w:rPr>
      </w:pPr>
      <w:r>
        <w:rPr>
          <w:rFonts w:hint="eastAsia" w:ascii="仿宋_GB2312" w:hAnsi="仿宋_GB2312" w:eastAsia="仿宋_GB2312" w:cs="仿宋_GB2312"/>
          <w:color w:val="auto"/>
          <w:position w:val="0"/>
          <w:sz w:val="32"/>
          <w:szCs w:val="32"/>
          <w:highlight w:val="none"/>
          <w:lang w:eastAsia="zh-CN"/>
        </w:rPr>
        <w:t>为进一步做好被征地农民社会保障工作，切实维护被征地农民权益，依据</w:t>
      </w:r>
      <w:r>
        <w:rPr>
          <w:rFonts w:hint="eastAsia" w:ascii="仿宋_GB2312" w:hAnsi="仿宋_GB2312" w:eastAsia="仿宋_GB2312" w:cs="仿宋_GB2312"/>
          <w:color w:val="auto"/>
          <w:position w:val="0"/>
          <w:sz w:val="32"/>
          <w:szCs w:val="32"/>
          <w:highlight w:val="none"/>
        </w:rPr>
        <w:t>《中华人民共和国社会保险法》、</w:t>
      </w:r>
      <w:r>
        <w:rPr>
          <w:rFonts w:hint="eastAsia" w:ascii="仿宋_GB2312" w:hAnsi="仿宋_GB2312" w:eastAsia="仿宋_GB2312" w:cs="仿宋_GB2312"/>
          <w:color w:val="auto"/>
          <w:position w:val="0"/>
          <w:sz w:val="32"/>
          <w:szCs w:val="32"/>
          <w:highlight w:val="none"/>
          <w:lang w:eastAsia="zh-CN"/>
        </w:rPr>
        <w:t>《中华人民共和国土地管理法》等法律法规和</w:t>
      </w:r>
      <w:r>
        <w:rPr>
          <w:rFonts w:hint="eastAsia" w:ascii="仿宋_GB2312" w:hAnsi="仿宋_GB2312" w:eastAsia="仿宋_GB2312" w:cs="仿宋_GB2312"/>
          <w:color w:val="auto"/>
          <w:position w:val="0"/>
          <w:sz w:val="32"/>
          <w:szCs w:val="32"/>
          <w:highlight w:val="none"/>
        </w:rPr>
        <w:t>国家、省</w:t>
      </w:r>
      <w:r>
        <w:rPr>
          <w:rFonts w:hint="eastAsia" w:ascii="仿宋_GB2312" w:hAnsi="仿宋_GB2312" w:eastAsia="仿宋_GB2312" w:cs="仿宋_GB2312"/>
          <w:color w:val="auto"/>
          <w:position w:val="0"/>
          <w:sz w:val="32"/>
          <w:szCs w:val="32"/>
          <w:highlight w:val="none"/>
          <w:lang w:eastAsia="zh-CN"/>
        </w:rPr>
        <w:t>、</w:t>
      </w:r>
      <w:r>
        <w:rPr>
          <w:rFonts w:hint="eastAsia" w:ascii="仿宋_GB2312" w:hAnsi="仿宋_GB2312" w:eastAsia="仿宋_GB2312" w:cs="仿宋_GB2312"/>
          <w:color w:val="auto"/>
          <w:position w:val="0"/>
          <w:sz w:val="32"/>
          <w:szCs w:val="32"/>
          <w:highlight w:val="none"/>
        </w:rPr>
        <w:t>市被征地</w:t>
      </w:r>
      <w:r>
        <w:rPr>
          <w:rFonts w:hint="eastAsia" w:ascii="仿宋_GB2312" w:hAnsi="仿宋_GB2312" w:eastAsia="仿宋_GB2312" w:cs="仿宋_GB2312"/>
          <w:color w:val="auto"/>
          <w:position w:val="0"/>
          <w:sz w:val="32"/>
          <w:szCs w:val="32"/>
          <w:highlight w:val="none"/>
          <w:lang w:eastAsia="zh-CN"/>
        </w:rPr>
        <w:t>农民</w:t>
      </w:r>
      <w:r>
        <w:rPr>
          <w:rFonts w:hint="eastAsia" w:ascii="仿宋_GB2312" w:hAnsi="仿宋_GB2312" w:eastAsia="仿宋_GB2312" w:cs="仿宋_GB2312"/>
          <w:color w:val="auto"/>
          <w:position w:val="0"/>
          <w:sz w:val="32"/>
          <w:szCs w:val="32"/>
          <w:highlight w:val="none"/>
        </w:rPr>
        <w:t>社会保障工作有关</w:t>
      </w:r>
      <w:r>
        <w:rPr>
          <w:rFonts w:hint="eastAsia" w:ascii="仿宋_GB2312" w:hAnsi="仿宋_GB2312" w:eastAsia="仿宋_GB2312" w:cs="仿宋_GB2312"/>
          <w:color w:val="auto"/>
          <w:position w:val="0"/>
          <w:sz w:val="32"/>
          <w:szCs w:val="32"/>
          <w:highlight w:val="none"/>
          <w:lang w:eastAsia="zh-CN"/>
        </w:rPr>
        <w:t>政策</w:t>
      </w:r>
      <w:r>
        <w:rPr>
          <w:rFonts w:hint="eastAsia" w:ascii="仿宋_GB2312" w:hAnsi="仿宋_GB2312" w:eastAsia="仿宋_GB2312" w:cs="仿宋_GB2312"/>
          <w:color w:val="auto"/>
          <w:position w:val="0"/>
          <w:sz w:val="32"/>
          <w:szCs w:val="32"/>
          <w:highlight w:val="none"/>
        </w:rPr>
        <w:t>，</w:t>
      </w:r>
      <w:r>
        <w:rPr>
          <w:rFonts w:hint="eastAsia" w:ascii="仿宋_GB2312" w:hAnsi="仿宋_GB2312" w:eastAsia="仿宋_GB2312" w:cs="仿宋_GB2312"/>
          <w:b w:val="0"/>
          <w:color w:val="auto"/>
          <w:position w:val="0"/>
          <w:sz w:val="32"/>
          <w:szCs w:val="32"/>
          <w:highlight w:val="none"/>
        </w:rPr>
        <w:t>结合</w:t>
      </w:r>
      <w:r>
        <w:rPr>
          <w:rFonts w:hint="eastAsia" w:ascii="仿宋_GB2312" w:hAnsi="仿宋_GB2312" w:eastAsia="仿宋_GB2312" w:cs="仿宋_GB2312"/>
          <w:b w:val="0"/>
          <w:color w:val="auto"/>
          <w:position w:val="0"/>
          <w:sz w:val="32"/>
          <w:szCs w:val="32"/>
          <w:highlight w:val="none"/>
          <w:lang w:eastAsia="zh-CN"/>
        </w:rPr>
        <w:t>我</w:t>
      </w:r>
      <w:r>
        <w:rPr>
          <w:rFonts w:hint="eastAsia" w:ascii="仿宋_GB2312" w:hAnsi="仿宋_GB2312" w:eastAsia="仿宋_GB2312" w:cs="仿宋_GB2312"/>
          <w:b w:val="0"/>
          <w:color w:val="auto"/>
          <w:position w:val="0"/>
          <w:sz w:val="32"/>
          <w:szCs w:val="32"/>
          <w:highlight w:val="none"/>
        </w:rPr>
        <w:t>区实际</w:t>
      </w:r>
      <w:r>
        <w:rPr>
          <w:rFonts w:hint="eastAsia" w:ascii="仿宋_GB2312" w:hAnsi="仿宋_GB2312" w:eastAsia="仿宋_GB2312" w:cs="仿宋_GB2312"/>
          <w:b w:val="0"/>
          <w:color w:val="auto"/>
          <w:position w:val="0"/>
          <w:sz w:val="32"/>
          <w:szCs w:val="32"/>
          <w:highlight w:val="none"/>
          <w:lang w:eastAsia="zh-CN"/>
        </w:rPr>
        <w:t>，</w:t>
      </w:r>
      <w:r>
        <w:rPr>
          <w:rFonts w:hint="eastAsia" w:ascii="仿宋_GB2312" w:hAnsi="仿宋_GB2312" w:eastAsia="仿宋_GB2312" w:cs="仿宋_GB2312"/>
          <w:b w:val="0"/>
          <w:color w:val="auto"/>
          <w:position w:val="0"/>
          <w:sz w:val="32"/>
          <w:szCs w:val="32"/>
          <w:highlight w:val="none"/>
        </w:rPr>
        <w:t>制定本实施</w:t>
      </w:r>
      <w:r>
        <w:rPr>
          <w:rFonts w:hint="eastAsia" w:ascii="仿宋_GB2312" w:hAnsi="仿宋_GB2312" w:eastAsia="仿宋_GB2312" w:cs="仿宋_GB2312"/>
          <w:b w:val="0"/>
          <w:color w:val="auto"/>
          <w:position w:val="0"/>
          <w:sz w:val="32"/>
          <w:szCs w:val="32"/>
          <w:highlight w:val="none"/>
          <w:lang w:eastAsia="zh-CN"/>
        </w:rPr>
        <w:t>方案</w:t>
      </w:r>
      <w:r>
        <w:rPr>
          <w:rFonts w:hint="eastAsia" w:ascii="仿宋_GB2312" w:hAnsi="仿宋_GB2312" w:eastAsia="仿宋_GB2312" w:cs="仿宋_GB2312"/>
          <w:b w:val="0"/>
          <w:color w:val="auto"/>
          <w:position w:val="0"/>
          <w:sz w:val="32"/>
          <w:szCs w:val="32"/>
          <w:highlight w:val="none"/>
        </w:rPr>
        <w:t>。</w:t>
      </w:r>
    </w:p>
    <w:p>
      <w:pPr>
        <w:keepNext w:val="0"/>
        <w:keepLines w:val="0"/>
        <w:pageBreakBefore w:val="0"/>
        <w:widowControl/>
        <w:numPr>
          <w:ilvl w:val="0"/>
          <w:numId w:val="1"/>
        </w:numPr>
        <w:kinsoku/>
        <w:overflowPunct/>
        <w:topLinePunct w:val="0"/>
        <w:autoSpaceDE/>
        <w:autoSpaceDN/>
        <w:bidi w:val="0"/>
        <w:adjustRightInd/>
        <w:snapToGrid/>
        <w:spacing w:before="0" w:line="560" w:lineRule="exact"/>
        <w:ind w:right="0" w:firstLine="640" w:firstLineChars="200"/>
        <w:jc w:val="left"/>
        <w:textAlignment w:val="auto"/>
        <w:outlineLvl w:val="9"/>
        <w:rPr>
          <w:rFonts w:hint="eastAsia" w:ascii="黑体" w:hAnsi="黑体" w:eastAsia="黑体" w:cs="黑体"/>
          <w:b w:val="0"/>
          <w:bCs/>
          <w:color w:val="auto"/>
          <w:position w:val="0"/>
          <w:sz w:val="32"/>
          <w:szCs w:val="32"/>
          <w:highlight w:val="none"/>
        </w:rPr>
      </w:pPr>
      <w:r>
        <w:rPr>
          <w:rFonts w:hint="eastAsia" w:ascii="黑体" w:hAnsi="黑体" w:eastAsia="黑体" w:cs="黑体"/>
          <w:b w:val="0"/>
          <w:bCs/>
          <w:color w:val="auto"/>
          <w:position w:val="0"/>
          <w:sz w:val="32"/>
          <w:szCs w:val="32"/>
          <w:highlight w:val="none"/>
          <w:lang w:eastAsia="zh-CN"/>
        </w:rPr>
        <w:t>缴费</w:t>
      </w:r>
      <w:r>
        <w:rPr>
          <w:rFonts w:hint="eastAsia" w:ascii="黑体" w:hAnsi="黑体" w:eastAsia="黑体" w:cs="黑体"/>
          <w:b w:val="0"/>
          <w:bCs/>
          <w:color w:val="auto"/>
          <w:position w:val="0"/>
          <w:sz w:val="32"/>
          <w:szCs w:val="32"/>
          <w:highlight w:val="none"/>
        </w:rPr>
        <w:t>补贴范围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国标仿宋" w:hAnsi="国标仿宋" w:eastAsia="国标仿宋" w:cs="国标仿宋"/>
          <w:sz w:val="32"/>
          <w:szCs w:val="32"/>
          <w:highlight w:val="none"/>
          <w:lang w:val="en-US" w:eastAsia="zh-CN"/>
        </w:rPr>
      </w:pPr>
      <w:r>
        <w:rPr>
          <w:rFonts w:hint="eastAsia" w:ascii="仿宋_GB2312" w:hAnsi="仿宋_GB2312" w:eastAsia="仿宋_GB2312" w:cs="仿宋_GB2312"/>
          <w:smallCaps w:val="0"/>
          <w:color w:val="auto"/>
          <w:spacing w:val="0"/>
          <w:position w:val="0"/>
          <w:sz w:val="32"/>
          <w:szCs w:val="32"/>
          <w:highlight w:val="none"/>
          <w:vertAlign w:val="baseline"/>
          <w:lang w:val="en-US" w:eastAsia="zh-CN"/>
        </w:rPr>
        <w:t>1、</w:t>
      </w:r>
      <w:r>
        <w:rPr>
          <w:rFonts w:hint="eastAsia" w:ascii="仿宋_GB2312" w:hAnsi="仿宋_GB2312" w:eastAsia="仿宋_GB2312" w:cs="仿宋_GB2312"/>
          <w:smallCaps w:val="0"/>
          <w:color w:val="auto"/>
          <w:spacing w:val="0"/>
          <w:position w:val="0"/>
          <w:sz w:val="32"/>
          <w:szCs w:val="32"/>
          <w:highlight w:val="none"/>
          <w:vertAlign w:val="baseline"/>
          <w:lang w:eastAsia="zh-CN"/>
        </w:rPr>
        <w:t>新华区行政</w:t>
      </w:r>
      <w:r>
        <w:rPr>
          <w:rFonts w:hint="eastAsia" w:ascii="仿宋_GB2312" w:hAnsi="仿宋_GB2312" w:eastAsia="仿宋_GB2312" w:cs="仿宋_GB2312"/>
          <w:smallCaps w:val="0"/>
          <w:color w:val="auto"/>
          <w:spacing w:val="0"/>
          <w:position w:val="0"/>
          <w:sz w:val="32"/>
          <w:szCs w:val="32"/>
          <w:highlight w:val="none"/>
          <w:vertAlign w:val="baseline"/>
        </w:rPr>
        <w:t>区域内，</w:t>
      </w:r>
      <w:r>
        <w:rPr>
          <w:rFonts w:hint="eastAsia" w:ascii="国标仿宋" w:hAnsi="国标仿宋" w:eastAsia="国标仿宋" w:cs="国标仿宋"/>
          <w:sz w:val="32"/>
          <w:szCs w:val="32"/>
          <w:highlight w:val="none"/>
          <w:lang w:val="en-US" w:eastAsia="zh-CN"/>
        </w:rPr>
        <w:t>因政府依法征收农民集体农用地而导致家庭承包土地被征收，且已按规定参加基本养老保险的农村集体经济组织成员。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国标仿宋" w:hAnsi="国标仿宋" w:eastAsia="国标仿宋" w:cs="国标仿宋"/>
          <w:sz w:val="32"/>
          <w:szCs w:val="32"/>
          <w:highlight w:val="none"/>
          <w:u w:val="none"/>
          <w:lang w:val="en-US" w:eastAsia="zh-CN"/>
        </w:rPr>
      </w:pPr>
      <w:r>
        <w:rPr>
          <w:rFonts w:hint="eastAsia" w:ascii="国标仿宋" w:hAnsi="国标仿宋" w:eastAsia="国标仿宋" w:cs="国标仿宋"/>
          <w:sz w:val="32"/>
          <w:szCs w:val="32"/>
          <w:highlight w:val="none"/>
          <w:lang w:val="en-US" w:eastAsia="zh-CN"/>
        </w:rPr>
        <w:t>2、对被征收农民集体农用地没有明确使用权人、集体经济组织未发包或实行其他形式发包等特殊情形的，</w:t>
      </w:r>
      <w:r>
        <w:rPr>
          <w:rFonts w:hint="eastAsia" w:ascii="国标仿宋" w:hAnsi="国标仿宋" w:eastAsia="国标仿宋" w:cs="国标仿宋"/>
          <w:sz w:val="32"/>
          <w:szCs w:val="32"/>
          <w:highlight w:val="none"/>
          <w:u w:val="none"/>
          <w:lang w:val="en-US" w:eastAsia="zh-CN"/>
        </w:rPr>
        <w:t>可由农村集体经济组织理事会研究提出建议名单，农村集体经济组织成员大会通过并公示后，经所在街道办事处审核再次公示后，报区人民政府审核批准。</w:t>
      </w:r>
    </w:p>
    <w:p>
      <w:pPr>
        <w:keepNext w:val="0"/>
        <w:keepLines w:val="0"/>
        <w:pageBreakBefore w:val="0"/>
        <w:widowControl/>
        <w:numPr>
          <w:ilvl w:val="0"/>
          <w:numId w:val="2"/>
        </w:numPr>
        <w:kinsoku/>
        <w:overflowPunct/>
        <w:topLinePunct w:val="0"/>
        <w:autoSpaceDE/>
        <w:autoSpaceDN/>
        <w:bidi w:val="0"/>
        <w:adjustRightInd/>
        <w:snapToGrid/>
        <w:spacing w:before="0" w:line="560" w:lineRule="exact"/>
        <w:ind w:right="0" w:firstLine="640" w:firstLineChars="200"/>
        <w:jc w:val="left"/>
        <w:textAlignment w:val="auto"/>
        <w:outlineLvl w:val="9"/>
        <w:rPr>
          <w:rFonts w:hint="eastAsia" w:ascii="黑体" w:hAnsi="黑体" w:eastAsia="黑体" w:cs="黑体"/>
          <w:b w:val="0"/>
          <w:bCs/>
          <w:color w:val="auto"/>
          <w:position w:val="0"/>
          <w:sz w:val="32"/>
          <w:szCs w:val="32"/>
          <w:highlight w:val="none"/>
        </w:rPr>
      </w:pPr>
      <w:r>
        <w:rPr>
          <w:rFonts w:hint="eastAsia" w:ascii="黑体" w:hAnsi="黑体" w:eastAsia="黑体" w:cs="黑体"/>
          <w:b w:val="0"/>
          <w:bCs/>
          <w:color w:val="auto"/>
          <w:position w:val="0"/>
          <w:sz w:val="32"/>
          <w:szCs w:val="32"/>
          <w:highlight w:val="none"/>
        </w:rPr>
        <w:t>基准日确定</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rightChars="0" w:firstLine="640" w:firstLineChars="200"/>
        <w:jc w:val="left"/>
        <w:textAlignment w:val="auto"/>
        <w:outlineLvl w:val="9"/>
        <w:rPr>
          <w:rFonts w:hint="eastAsia" w:ascii="仿宋_GB2312" w:hAnsi="仿宋_GB2312" w:eastAsia="仿宋_GB2312" w:cs="仿宋_GB2312"/>
          <w:b w:val="0"/>
          <w:color w:val="000000" w:themeColor="text1"/>
          <w:position w:val="0"/>
          <w:sz w:val="32"/>
          <w:szCs w:val="32"/>
          <w:highlight w:val="none"/>
          <w:u w:val="single"/>
          <w:lang w:val="en-US" w:eastAsia="zh-CN"/>
          <w14:textFill>
            <w14:solidFill>
              <w14:schemeClr w14:val="tx1"/>
            </w14:solidFill>
          </w14:textFill>
        </w:rPr>
      </w:pPr>
      <w:r>
        <w:rPr>
          <w:rFonts w:hint="eastAsia" w:ascii="仿宋_GB2312" w:hAnsi="微软雅黑" w:eastAsia="仿宋_GB2312" w:cs="仿宋_GB2312"/>
          <w:i w:val="0"/>
          <w:iCs w:val="0"/>
          <w:caps w:val="0"/>
          <w:color w:val="000000"/>
          <w:spacing w:val="0"/>
          <w:kern w:val="0"/>
          <w:sz w:val="32"/>
          <w:szCs w:val="32"/>
          <w:highlight w:val="none"/>
          <w:lang w:val="en-US" w:eastAsia="zh-CN" w:bidi="ar"/>
        </w:rPr>
        <w:t>本《方案》实施前依法征收农民集体农用地的，以本《方案》实施之月为基准时间；本《方案》实施后依法征收农民集体农用地的，</w:t>
      </w:r>
      <w:r>
        <w:rPr>
          <w:rFonts w:hint="eastAsia" w:ascii="仿宋_GB2312" w:hAnsi="仿宋_GB2312" w:eastAsia="仿宋_GB2312" w:cs="仿宋_GB2312"/>
          <w:b w:val="0"/>
          <w:color w:val="auto"/>
          <w:position w:val="0"/>
          <w:sz w:val="32"/>
          <w:szCs w:val="32"/>
          <w:highlight w:val="none"/>
          <w:u w:val="none"/>
          <w:lang w:eastAsia="zh-CN"/>
        </w:rPr>
        <w:t>以区人民政府发布《征地补偿安置方案公告》当月为基准时间</w:t>
      </w:r>
      <w:r>
        <w:rPr>
          <w:rFonts w:hint="eastAsia" w:ascii="仿宋_GB2312" w:hAnsi="仿宋_GB2312" w:eastAsia="仿宋_GB2312" w:cs="仿宋_GB2312"/>
          <w:b w:val="0"/>
          <w:color w:val="000000" w:themeColor="text1"/>
          <w:position w:val="0"/>
          <w:sz w:val="32"/>
          <w:szCs w:val="32"/>
          <w:highlight w:val="none"/>
          <w:u w:val="none"/>
          <w:lang w:eastAsia="zh-CN"/>
          <w14:textFill>
            <w14:solidFill>
              <w14:schemeClr w14:val="tx1"/>
            </w14:solidFill>
          </w14:textFill>
        </w:rPr>
        <w:t>。</w:t>
      </w:r>
    </w:p>
    <w:p>
      <w:pPr>
        <w:keepNext w:val="0"/>
        <w:keepLines w:val="0"/>
        <w:pageBreakBefore w:val="0"/>
        <w:widowControl/>
        <w:numPr>
          <w:ilvl w:val="0"/>
          <w:numId w:val="2"/>
        </w:numPr>
        <w:kinsoku/>
        <w:overflowPunct/>
        <w:topLinePunct w:val="0"/>
        <w:autoSpaceDE/>
        <w:autoSpaceDN/>
        <w:bidi w:val="0"/>
        <w:adjustRightInd/>
        <w:snapToGrid/>
        <w:spacing w:before="0" w:line="560" w:lineRule="exact"/>
        <w:ind w:left="0" w:leftChars="0" w:right="0" w:firstLine="640" w:firstLineChars="200"/>
        <w:jc w:val="left"/>
        <w:textAlignment w:val="auto"/>
        <w:outlineLvl w:val="9"/>
        <w:rPr>
          <w:rFonts w:hint="eastAsia" w:ascii="黑体" w:hAnsi="黑体" w:eastAsia="黑体" w:cs="黑体"/>
          <w:b w:val="0"/>
          <w:bCs/>
          <w:color w:val="auto"/>
          <w:position w:val="0"/>
          <w:sz w:val="32"/>
          <w:szCs w:val="32"/>
          <w:highlight w:val="none"/>
          <w:lang w:eastAsia="zh-CN"/>
        </w:rPr>
      </w:pPr>
      <w:r>
        <w:rPr>
          <w:rFonts w:hint="eastAsia" w:ascii="黑体" w:hAnsi="黑体" w:eastAsia="黑体" w:cs="黑体"/>
          <w:b w:val="0"/>
          <w:bCs/>
          <w:color w:val="auto"/>
          <w:position w:val="0"/>
          <w:sz w:val="32"/>
          <w:szCs w:val="32"/>
          <w:highlight w:val="none"/>
          <w:lang w:eastAsia="zh-CN"/>
        </w:rPr>
        <w:t>缴费补贴标准</w:t>
      </w:r>
    </w:p>
    <w:p>
      <w:pPr>
        <w:keepNext w:val="0"/>
        <w:keepLines w:val="0"/>
        <w:pageBreakBefore w:val="0"/>
        <w:widowControl/>
        <w:numPr>
          <w:ilvl w:val="0"/>
          <w:numId w:val="0"/>
        </w:numPr>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坚持尽力而为、量力而行、可持续的原则，统筹考虑经济社会发展水平以及被征地农民保障需求等因素</w:t>
      </w:r>
      <w:r>
        <w:rPr>
          <w:rFonts w:hint="eastAsia" w:ascii="仿宋_GB2312" w:hAnsi="仿宋_GB2312" w:eastAsia="仿宋_GB2312" w:cs="仿宋_GB2312"/>
          <w:color w:val="auto"/>
          <w:sz w:val="32"/>
          <w:szCs w:val="32"/>
          <w:highlight w:val="none"/>
          <w:shd w:val="clear" w:color="auto" w:fill="auto"/>
          <w:lang w:val="en-US" w:eastAsia="zh-CN"/>
        </w:rPr>
        <w:t>，</w:t>
      </w:r>
      <w:r>
        <w:rPr>
          <w:rFonts w:hint="eastAsia" w:ascii="仿宋_GB2312" w:hAnsi="仿宋_GB2312" w:eastAsia="仿宋_GB2312" w:cs="仿宋_GB2312"/>
          <w:color w:val="auto"/>
          <w:sz w:val="32"/>
          <w:szCs w:val="32"/>
          <w:highlight w:val="none"/>
          <w:u w:val="none"/>
          <w:shd w:val="clear" w:color="auto" w:fill="auto"/>
          <w:lang w:val="en-US" w:eastAsia="zh-CN"/>
        </w:rPr>
        <w:t>征一亩补一亩，不征不补，</w:t>
      </w:r>
      <w:r>
        <w:rPr>
          <w:rFonts w:hint="eastAsia" w:ascii="仿宋_GB2312" w:hAnsi="仿宋_GB2312" w:eastAsia="仿宋_GB2312" w:cs="仿宋_GB2312"/>
          <w:color w:val="auto"/>
          <w:sz w:val="32"/>
          <w:szCs w:val="32"/>
          <w:highlight w:val="none"/>
          <w:shd w:val="clear" w:color="auto" w:fill="auto"/>
          <w:lang w:val="en-US" w:eastAsia="zh-CN"/>
        </w:rPr>
        <w:t>原则上以户为单位，以征收农民集体农用</w:t>
      </w:r>
      <w:r>
        <w:rPr>
          <w:rFonts w:hint="eastAsia" w:ascii="仿宋_GB2312" w:hAnsi="仿宋_GB2312" w:eastAsia="仿宋_GB2312" w:cs="仿宋_GB2312"/>
          <w:sz w:val="32"/>
          <w:szCs w:val="32"/>
          <w:highlight w:val="none"/>
          <w:lang w:val="en-US" w:eastAsia="zh-CN"/>
        </w:rPr>
        <w:t>地面积确定补贴额度，补贴资金在户内符合条件成员间合理分配，</w:t>
      </w:r>
      <w:r>
        <w:rPr>
          <w:rFonts w:hint="eastAsia" w:ascii="仿宋_GB2312" w:hAnsi="微软雅黑" w:eastAsia="仿宋_GB2312" w:cs="仿宋_GB2312"/>
          <w:i w:val="0"/>
          <w:iCs w:val="0"/>
          <w:caps w:val="0"/>
          <w:color w:val="000000"/>
          <w:spacing w:val="0"/>
          <w:kern w:val="0"/>
          <w:sz w:val="32"/>
          <w:szCs w:val="32"/>
          <w:highlight w:val="none"/>
          <w:lang w:val="en-US" w:eastAsia="zh-CN" w:bidi="ar"/>
        </w:rPr>
        <w:t>一经选择不得更改。</w:t>
      </w:r>
    </w:p>
    <w:p>
      <w:pPr>
        <w:keepNext w:val="0"/>
        <w:keepLines w:val="0"/>
        <w:pageBreakBefore w:val="0"/>
        <w:widowControl/>
        <w:numPr>
          <w:ilvl w:val="0"/>
          <w:numId w:val="0"/>
        </w:numPr>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补贴到户金额=家庭被征收农民集体农用地面积×征地区片综合地价×30%。</w:t>
      </w:r>
    </w:p>
    <w:p>
      <w:pPr>
        <w:keepNext w:val="0"/>
        <w:keepLines w:val="0"/>
        <w:pageBreakBefore w:val="0"/>
        <w:widowControl/>
        <w:numPr>
          <w:ilvl w:val="0"/>
          <w:numId w:val="0"/>
        </w:numPr>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四、</w:t>
      </w:r>
      <w:r>
        <w:rPr>
          <w:rFonts w:hint="eastAsia" w:ascii="黑体" w:hAnsi="黑体" w:eastAsia="黑体" w:cs="黑体"/>
          <w:b w:val="0"/>
          <w:bCs/>
          <w:color w:val="auto"/>
          <w:position w:val="0"/>
          <w:sz w:val="32"/>
          <w:szCs w:val="32"/>
          <w:highlight w:val="none"/>
          <w:lang w:eastAsia="zh-CN"/>
        </w:rPr>
        <w:t>缴费补贴发放</w:t>
      </w:r>
      <w:r>
        <w:rPr>
          <w:rFonts w:hint="eastAsia" w:ascii="黑体" w:hAnsi="黑体" w:eastAsia="黑体" w:cs="黑体"/>
          <w:b w:val="0"/>
          <w:bCs/>
          <w:color w:val="auto"/>
          <w:position w:val="0"/>
          <w:sz w:val="32"/>
          <w:szCs w:val="32"/>
          <w:highlight w:val="none"/>
        </w:rPr>
        <w:t>方式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strike/>
          <w:dstrike w:val="0"/>
          <w:color w:val="auto"/>
          <w:sz w:val="32"/>
          <w:szCs w:val="32"/>
          <w:highlight w:val="none"/>
          <w:shd w:val="clear" w:color="auto" w:fill="auto"/>
          <w:lang w:val="en-US" w:eastAsia="zh-CN"/>
        </w:rPr>
      </w:pPr>
      <w:r>
        <w:rPr>
          <w:rFonts w:hint="eastAsia" w:ascii="仿宋" w:hAnsi="仿宋" w:eastAsia="仿宋" w:cs="仿宋"/>
          <w:sz w:val="32"/>
          <w:szCs w:val="32"/>
          <w:highlight w:val="none"/>
          <w:lang w:val="en-US" w:eastAsia="zh-CN"/>
        </w:rPr>
        <w:t>补贴对象已参加城乡居民基本养老保险的，缴费补贴计入本人城乡居民</w:t>
      </w:r>
      <w:r>
        <w:rPr>
          <w:rFonts w:hint="eastAsia" w:ascii="仿宋" w:hAnsi="仿宋" w:eastAsia="仿宋" w:cs="仿宋"/>
          <w:color w:val="auto"/>
          <w:sz w:val="32"/>
          <w:szCs w:val="32"/>
          <w:highlight w:val="none"/>
          <w:lang w:val="en-US" w:eastAsia="zh-CN"/>
        </w:rPr>
        <w:t>基本养老保险个人账户。</w:t>
      </w:r>
      <w:r>
        <w:rPr>
          <w:rFonts w:hint="eastAsia" w:ascii="仿宋_GB2312" w:hAnsi="仿宋_GB2312" w:eastAsia="仿宋_GB2312" w:cs="仿宋_GB2312"/>
          <w:color w:val="auto"/>
          <w:sz w:val="32"/>
          <w:szCs w:val="32"/>
          <w:highlight w:val="none"/>
          <w:lang w:val="en-US" w:eastAsia="zh-CN"/>
        </w:rPr>
        <w:t>处于缴费期的，采取一次性计入方式落实，以后年度由本人按城乡居民基本养老保险缴费规定继续缴费，直至达到待遇领取条件，按照全部缴费补贴金额除以计发月数（139）增发个人账户养老金；已达待遇领取条件的，补贴计入个人账户，按照全部缴费补贴金额除以计发系数（139）按月计发，自补贴计入次月重新核定待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补贴对象</w:t>
      </w:r>
      <w:r>
        <w:rPr>
          <w:rFonts w:hint="eastAsia" w:ascii="仿宋" w:hAnsi="仿宋" w:eastAsia="仿宋" w:cs="仿宋"/>
          <w:sz w:val="32"/>
          <w:szCs w:val="32"/>
          <w:highlight w:val="none"/>
        </w:rPr>
        <w:t>参加</w:t>
      </w:r>
      <w:r>
        <w:rPr>
          <w:rFonts w:hint="eastAsia" w:ascii="仿宋" w:hAnsi="仿宋" w:eastAsia="仿宋" w:cs="仿宋"/>
          <w:sz w:val="32"/>
          <w:szCs w:val="32"/>
          <w:highlight w:val="none"/>
          <w:lang w:eastAsia="zh-CN"/>
        </w:rPr>
        <w:t>企业</w:t>
      </w:r>
      <w:r>
        <w:rPr>
          <w:rFonts w:hint="eastAsia" w:ascii="仿宋" w:hAnsi="仿宋" w:eastAsia="仿宋" w:cs="仿宋"/>
          <w:sz w:val="32"/>
          <w:szCs w:val="32"/>
          <w:highlight w:val="none"/>
        </w:rPr>
        <w:t>职工</w:t>
      </w:r>
      <w:r>
        <w:rPr>
          <w:rFonts w:hint="eastAsia" w:ascii="仿宋" w:hAnsi="仿宋" w:eastAsia="仿宋" w:cs="仿宋"/>
          <w:sz w:val="32"/>
          <w:szCs w:val="32"/>
          <w:highlight w:val="none"/>
          <w:lang w:eastAsia="zh-CN"/>
        </w:rPr>
        <w:t>基本</w:t>
      </w:r>
      <w:r>
        <w:rPr>
          <w:rFonts w:hint="eastAsia" w:ascii="仿宋" w:hAnsi="仿宋" w:eastAsia="仿宋" w:cs="仿宋"/>
          <w:sz w:val="32"/>
          <w:szCs w:val="32"/>
          <w:highlight w:val="none"/>
        </w:rPr>
        <w:t>养老保险的，</w:t>
      </w:r>
      <w:r>
        <w:rPr>
          <w:rFonts w:hint="eastAsia" w:ascii="仿宋" w:hAnsi="仿宋" w:eastAsia="仿宋" w:cs="仿宋"/>
          <w:sz w:val="32"/>
          <w:szCs w:val="32"/>
          <w:highlight w:val="none"/>
          <w:lang w:eastAsia="zh-CN"/>
        </w:rPr>
        <w:t>缴费补贴用于帮助本人参保缴费。对以灵活就业人员身份参加企业职工养老保险的，凭缴费权益记录单或缴费票据等逐年报销；对</w:t>
      </w:r>
      <w:r>
        <w:rPr>
          <w:rFonts w:hint="eastAsia" w:ascii="仿宋" w:hAnsi="仿宋" w:eastAsia="仿宋" w:cs="仿宋"/>
          <w:sz w:val="32"/>
          <w:szCs w:val="32"/>
          <w:highlight w:val="none"/>
          <w:lang w:val="en-US" w:eastAsia="zh-CN"/>
        </w:rPr>
        <w:t>在单位就业</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lang w:val="en-US" w:eastAsia="zh-CN"/>
        </w:rPr>
        <w:t>，凭</w:t>
      </w:r>
      <w:r>
        <w:rPr>
          <w:rFonts w:hint="eastAsia" w:ascii="仿宋" w:hAnsi="仿宋" w:eastAsia="仿宋" w:cs="仿宋"/>
          <w:sz w:val="32"/>
          <w:szCs w:val="32"/>
          <w:highlight w:val="none"/>
          <w:lang w:eastAsia="zh-CN"/>
        </w:rPr>
        <w:t>缴费权益记录单</w:t>
      </w:r>
      <w:r>
        <w:rPr>
          <w:rFonts w:hint="eastAsia" w:ascii="仿宋" w:hAnsi="仿宋" w:eastAsia="仿宋" w:cs="仿宋"/>
          <w:sz w:val="32"/>
          <w:szCs w:val="32"/>
          <w:highlight w:val="none"/>
          <w:lang w:val="en-US" w:eastAsia="zh-CN"/>
        </w:rPr>
        <w:t>等逐年</w:t>
      </w:r>
      <w:r>
        <w:rPr>
          <w:rFonts w:hint="eastAsia" w:ascii="仿宋" w:hAnsi="仿宋" w:eastAsia="仿宋" w:cs="仿宋"/>
          <w:sz w:val="32"/>
          <w:szCs w:val="32"/>
          <w:highlight w:val="none"/>
          <w:lang w:eastAsia="zh-CN"/>
        </w:rPr>
        <w:t>报销</w:t>
      </w:r>
      <w:r>
        <w:rPr>
          <w:rFonts w:hint="eastAsia" w:ascii="仿宋" w:hAnsi="仿宋" w:eastAsia="仿宋" w:cs="仿宋"/>
          <w:sz w:val="32"/>
          <w:szCs w:val="32"/>
          <w:highlight w:val="none"/>
          <w:lang w:val="en-US" w:eastAsia="zh-CN"/>
        </w:rPr>
        <w:t>个人缴费部分。采取逐年报销方式的，</w:t>
      </w:r>
      <w:r>
        <w:rPr>
          <w:rFonts w:hint="eastAsia" w:ascii="仿宋_GB2312" w:hAnsi="仿宋" w:eastAsia="仿宋_GB2312"/>
          <w:sz w:val="32"/>
          <w:szCs w:val="32"/>
          <w:highlight w:val="none"/>
          <w:lang w:val="en-US" w:eastAsia="zh-CN"/>
        </w:rPr>
        <w:t>每年年初核算上年度补贴额度，</w:t>
      </w:r>
      <w:r>
        <w:rPr>
          <w:rFonts w:hint="eastAsia" w:ascii="仿宋" w:hAnsi="仿宋" w:eastAsia="仿宋" w:cs="仿宋"/>
          <w:sz w:val="32"/>
          <w:szCs w:val="32"/>
          <w:highlight w:val="none"/>
          <w:lang w:val="en-US" w:eastAsia="zh-CN"/>
        </w:rPr>
        <w:t>缴费补贴额度用完为止。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补贴对象达到待遇领取条件时，补贴仍有结余的，参加职工养老保险的，余额一次性发放至本人社会保障卡金融账户。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 w:hAnsi="仿宋" w:eastAsia="仿宋" w:cs="仿宋"/>
          <w:sz w:val="32"/>
          <w:szCs w:val="32"/>
          <w:highlight w:val="none"/>
          <w:lang w:val="en-US" w:eastAsia="zh-CN"/>
        </w:rPr>
        <w:t>补贴对象丧失中华人民共和国国籍、按规定终止养老保险关系的，其缴费补贴余额一次性发放至本人社会保障卡金融账户。补贴对象死亡的，缴费补贴余额可依法继承。</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黑体" w:hAnsi="黑体" w:eastAsia="黑体" w:cs="黑体"/>
          <w:b w:val="0"/>
          <w:bCs/>
          <w:color w:val="auto"/>
          <w:position w:val="0"/>
          <w:sz w:val="32"/>
          <w:szCs w:val="32"/>
          <w:highlight w:val="none"/>
        </w:rPr>
      </w:pPr>
      <w:r>
        <w:rPr>
          <w:rFonts w:hint="eastAsia" w:ascii="黑体" w:hAnsi="黑体" w:eastAsia="黑体" w:cs="黑体"/>
          <w:b w:val="0"/>
          <w:bCs/>
          <w:color w:val="auto"/>
          <w:position w:val="0"/>
          <w:sz w:val="32"/>
          <w:szCs w:val="32"/>
          <w:highlight w:val="none"/>
          <w:lang w:eastAsia="zh-CN"/>
        </w:rPr>
        <w:t>五</w:t>
      </w:r>
      <w:r>
        <w:rPr>
          <w:rFonts w:hint="eastAsia" w:ascii="黑体" w:hAnsi="黑体" w:eastAsia="黑体" w:cs="黑体"/>
          <w:b w:val="0"/>
          <w:bCs/>
          <w:color w:val="auto"/>
          <w:position w:val="0"/>
          <w:sz w:val="32"/>
          <w:szCs w:val="32"/>
          <w:highlight w:val="none"/>
        </w:rPr>
        <w:t>、资金筹集</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 w:hAnsi="仿宋" w:eastAsia="仿宋" w:cs="仿宋"/>
          <w:b w:val="0"/>
          <w:bCs w:val="0"/>
          <w:smallCaps w:val="0"/>
          <w:color w:val="000000"/>
          <w:spacing w:val="0"/>
          <w:position w:val="0"/>
          <w:sz w:val="32"/>
          <w:szCs w:val="32"/>
          <w:highlight w:val="none"/>
          <w:vertAlign w:val="baseline"/>
          <w:lang w:val="en-US" w:eastAsia="zh-CN"/>
        </w:rPr>
      </w:pPr>
      <w:r>
        <w:rPr>
          <w:rFonts w:hint="eastAsia" w:ascii="楷体_GB2312" w:eastAsia="楷体_GB2312"/>
          <w:sz w:val="32"/>
          <w:szCs w:val="32"/>
          <w:highlight w:val="none"/>
        </w:rPr>
        <w:t>（一）按比例提取社会保障费。</w:t>
      </w:r>
      <w:r>
        <w:rPr>
          <w:rFonts w:hint="eastAsia" w:ascii="仿宋" w:hAnsi="仿宋" w:eastAsia="仿宋" w:cs="仿宋"/>
          <w:b w:val="0"/>
          <w:bCs w:val="0"/>
          <w:smallCaps w:val="0"/>
          <w:color w:val="000000"/>
          <w:spacing w:val="0"/>
          <w:position w:val="0"/>
          <w:sz w:val="32"/>
          <w:szCs w:val="32"/>
          <w:highlight w:val="none"/>
          <w:vertAlign w:val="baseline"/>
          <w:lang w:val="en-US" w:eastAsia="zh-CN"/>
        </w:rPr>
        <w:t>区人民政府按照适度保障、收支平衡的原则，足额筹集社会保障费。</w:t>
      </w:r>
      <w:r>
        <w:rPr>
          <w:rFonts w:hint="eastAsia" w:ascii="仿宋" w:hAnsi="仿宋" w:eastAsia="仿宋" w:cs="仿宋"/>
          <w:b w:val="0"/>
          <w:bCs w:val="0"/>
          <w:smallCaps w:val="0"/>
          <w:color w:val="000000"/>
          <w:spacing w:val="0"/>
          <w:position w:val="0"/>
          <w:sz w:val="32"/>
          <w:szCs w:val="32"/>
          <w:highlight w:val="none"/>
          <w:vertAlign w:val="baseline"/>
          <w:lang w:eastAsia="zh-CN"/>
        </w:rPr>
        <w:t>筹集</w:t>
      </w:r>
      <w:r>
        <w:rPr>
          <w:rFonts w:hint="eastAsia" w:ascii="仿宋_GB2312" w:hAnsi="仿宋_GB2312" w:eastAsia="仿宋_GB2312" w:cs="仿宋_GB2312"/>
          <w:smallCaps w:val="0"/>
          <w:color w:val="000000"/>
          <w:spacing w:val="0"/>
          <w:position w:val="0"/>
          <w:sz w:val="32"/>
          <w:szCs w:val="32"/>
          <w:highlight w:val="none"/>
          <w:vertAlign w:val="baseline"/>
          <w:lang w:eastAsia="zh-CN"/>
        </w:rPr>
        <w:t>比例</w:t>
      </w:r>
      <w:r>
        <w:rPr>
          <w:rFonts w:hint="eastAsia" w:ascii="仿宋" w:hAnsi="仿宋" w:eastAsia="仿宋" w:cs="仿宋"/>
          <w:b w:val="0"/>
          <w:bCs w:val="0"/>
          <w:smallCaps w:val="0"/>
          <w:color w:val="000000"/>
          <w:spacing w:val="0"/>
          <w:position w:val="0"/>
          <w:sz w:val="32"/>
          <w:szCs w:val="32"/>
          <w:highlight w:val="none"/>
          <w:vertAlign w:val="baseline"/>
          <w:lang w:eastAsia="zh-CN"/>
        </w:rPr>
        <w:t>为</w:t>
      </w:r>
      <w:r>
        <w:rPr>
          <w:rFonts w:hint="eastAsia" w:ascii="仿宋_GB2312" w:hAnsi="仿宋_GB2312" w:eastAsia="仿宋_GB2312" w:cs="仿宋_GB2312"/>
          <w:smallCaps w:val="0"/>
          <w:color w:val="000000"/>
          <w:spacing w:val="0"/>
          <w:position w:val="0"/>
          <w:sz w:val="32"/>
          <w:szCs w:val="32"/>
          <w:highlight w:val="none"/>
          <w:vertAlign w:val="baseline"/>
          <w:lang w:eastAsia="zh-CN"/>
        </w:rPr>
        <w:t>被征</w:t>
      </w:r>
      <w:r>
        <w:rPr>
          <w:rFonts w:hint="eastAsia" w:ascii="仿宋_GB2312" w:hAnsi="仿宋_GB2312" w:eastAsia="仿宋_GB2312" w:cs="仿宋_GB2312"/>
          <w:smallCaps w:val="0"/>
          <w:color w:val="000000"/>
          <w:spacing w:val="0"/>
          <w:position w:val="0"/>
          <w:sz w:val="32"/>
          <w:szCs w:val="32"/>
          <w:highlight w:val="none"/>
          <w:u w:val="none"/>
          <w:vertAlign w:val="baseline"/>
          <w:lang w:eastAsia="zh-CN"/>
        </w:rPr>
        <w:t>地区片综合地价的</w:t>
      </w:r>
      <w:r>
        <w:rPr>
          <w:rFonts w:hint="default" w:ascii="仿宋_GB2312" w:hAnsi="仿宋_GB2312" w:eastAsia="仿宋_GB2312" w:cs="仿宋_GB2312"/>
          <w:smallCaps w:val="0"/>
          <w:color w:val="000000"/>
          <w:spacing w:val="0"/>
          <w:position w:val="0"/>
          <w:sz w:val="32"/>
          <w:szCs w:val="32"/>
          <w:highlight w:val="none"/>
          <w:u w:val="none"/>
          <w:vertAlign w:val="baseline"/>
          <w:lang w:val="en-US" w:eastAsia="zh-CN"/>
        </w:rPr>
        <w:t>3</w:t>
      </w:r>
      <w:r>
        <w:rPr>
          <w:rFonts w:hint="eastAsia" w:ascii="仿宋_GB2312" w:hAnsi="仿宋_GB2312" w:eastAsia="仿宋_GB2312" w:cs="仿宋_GB2312"/>
          <w:smallCaps w:val="0"/>
          <w:color w:val="000000"/>
          <w:spacing w:val="0"/>
          <w:position w:val="0"/>
          <w:sz w:val="32"/>
          <w:szCs w:val="32"/>
          <w:highlight w:val="none"/>
          <w:u w:val="none"/>
          <w:vertAlign w:val="baseline"/>
          <w:lang w:val="en-US" w:eastAsia="zh-CN"/>
        </w:rPr>
        <w:t>0%，</w:t>
      </w:r>
      <w:r>
        <w:rPr>
          <w:rFonts w:hint="eastAsia" w:ascii="仿宋" w:hAnsi="仿宋" w:eastAsia="仿宋" w:cs="仿宋"/>
          <w:b w:val="0"/>
          <w:bCs w:val="0"/>
          <w:smallCaps w:val="0"/>
          <w:color w:val="000000"/>
          <w:spacing w:val="0"/>
          <w:position w:val="0"/>
          <w:sz w:val="32"/>
          <w:szCs w:val="32"/>
          <w:highlight w:val="none"/>
          <w:vertAlign w:val="baseline"/>
          <w:lang w:val="en-US" w:eastAsia="zh-CN"/>
        </w:rPr>
        <w:t>并每三年调整一次或重新公布。</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 w:hAnsi="仿宋" w:eastAsia="仿宋" w:cs="仿宋"/>
          <w:sz w:val="32"/>
          <w:szCs w:val="32"/>
          <w:highlight w:val="none"/>
          <w:lang w:val="en-US" w:eastAsia="zh-CN"/>
        </w:rPr>
      </w:pPr>
      <w:r>
        <w:rPr>
          <w:rFonts w:hint="eastAsia" w:ascii="仿宋" w:hAnsi="仿宋" w:eastAsia="仿宋" w:cs="仿宋"/>
          <w:smallCaps w:val="0"/>
          <w:color w:val="000000"/>
          <w:spacing w:val="0"/>
          <w:position w:val="0"/>
          <w:sz w:val="32"/>
          <w:szCs w:val="32"/>
          <w:highlight w:val="none"/>
          <w:u w:val="none"/>
          <w:vertAlign w:val="baseline"/>
          <w:lang w:val="en-US" w:eastAsia="zh-CN"/>
        </w:rPr>
        <w:t>在征收农民集体农用地报批前</w:t>
      </w:r>
      <w:r>
        <w:rPr>
          <w:rFonts w:hint="eastAsia" w:ascii="仿宋" w:hAnsi="仿宋" w:eastAsia="仿宋" w:cs="仿宋"/>
          <w:sz w:val="32"/>
          <w:szCs w:val="32"/>
          <w:highlight w:val="none"/>
          <w:lang w:val="en-US" w:eastAsia="zh-CN"/>
        </w:rPr>
        <w:t>，必须将所需的社会保障费及时足额划入指定账户。社会保障费单独列支，计入征地成本，以出让等有偿使用方式供地的在土地出让金中列支，以划拨方式供地的在供地时向土地使用者收缴。有条件的农村集体经济组织可安排资金用于补充缴费补贴。</w:t>
      </w:r>
    </w:p>
    <w:p>
      <w:pPr>
        <w:keepNext w:val="0"/>
        <w:keepLines w:val="0"/>
        <w:pageBreakBefore w:val="0"/>
        <w:widowControl/>
        <w:numPr>
          <w:ilvl w:val="0"/>
          <w:numId w:val="0"/>
        </w:numPr>
        <w:kinsoku/>
        <w:overflowPunct/>
        <w:topLinePunct w:val="0"/>
        <w:autoSpaceDE/>
        <w:autoSpaceDN/>
        <w:bidi w:val="0"/>
        <w:adjustRightInd/>
        <w:snapToGrid/>
        <w:spacing w:before="0" w:line="580" w:lineRule="exact"/>
        <w:ind w:right="0" w:firstLine="640" w:firstLineChars="200"/>
        <w:jc w:val="both"/>
        <w:textAlignment w:val="auto"/>
        <w:outlineLvl w:val="9"/>
        <w:rPr>
          <w:rFonts w:hint="eastAsia"/>
          <w:highlight w:val="none"/>
        </w:rPr>
      </w:pPr>
      <w:r>
        <w:rPr>
          <w:rFonts w:hint="eastAsia" w:ascii="仿宋_GB2312" w:hAnsi="仿宋_GB2312" w:eastAsia="仿宋_GB2312" w:cs="仿宋_GB2312"/>
          <w:smallCaps w:val="0"/>
          <w:color w:val="000000"/>
          <w:spacing w:val="0"/>
          <w:position w:val="0"/>
          <w:sz w:val="32"/>
          <w:szCs w:val="32"/>
          <w:highlight w:val="none"/>
          <w:u w:val="none"/>
          <w:vertAlign w:val="baseline"/>
        </w:rPr>
        <w:t>征地未通过批准的，</w:t>
      </w:r>
      <w:r>
        <w:rPr>
          <w:rFonts w:hint="eastAsia" w:ascii="仿宋_GB2312" w:hAnsi="仿宋_GB2312" w:eastAsia="仿宋_GB2312" w:cs="仿宋_GB2312"/>
          <w:smallCaps w:val="0"/>
          <w:color w:val="000000"/>
          <w:spacing w:val="0"/>
          <w:position w:val="0"/>
          <w:sz w:val="32"/>
          <w:szCs w:val="32"/>
          <w:highlight w:val="none"/>
          <w:u w:val="none"/>
          <w:vertAlign w:val="baseline"/>
          <w:lang w:eastAsia="zh-CN"/>
        </w:rPr>
        <w:t>用地</w:t>
      </w:r>
      <w:r>
        <w:rPr>
          <w:rFonts w:hint="eastAsia" w:ascii="仿宋_GB2312" w:hAnsi="仿宋_GB2312" w:eastAsia="仿宋_GB2312" w:cs="仿宋_GB2312"/>
          <w:smallCaps w:val="0"/>
          <w:color w:val="000000"/>
          <w:spacing w:val="0"/>
          <w:position w:val="0"/>
          <w:sz w:val="32"/>
          <w:szCs w:val="32"/>
          <w:highlight w:val="none"/>
          <w:u w:val="none"/>
          <w:vertAlign w:val="baseline"/>
        </w:rPr>
        <w:t>单位可持自然资源和规划</w:t>
      </w:r>
      <w:r>
        <w:rPr>
          <w:rFonts w:hint="eastAsia" w:ascii="仿宋_GB2312" w:hAnsi="仿宋_GB2312" w:eastAsia="仿宋_GB2312" w:cs="仿宋_GB2312"/>
          <w:smallCaps w:val="0"/>
          <w:color w:val="000000"/>
          <w:spacing w:val="0"/>
          <w:position w:val="0"/>
          <w:sz w:val="32"/>
          <w:szCs w:val="32"/>
          <w:highlight w:val="none"/>
          <w:u w:val="none"/>
          <w:vertAlign w:val="baseline"/>
          <w:lang w:eastAsia="zh-CN"/>
        </w:rPr>
        <w:t>部门</w:t>
      </w:r>
      <w:r>
        <w:rPr>
          <w:rFonts w:hint="eastAsia" w:ascii="仿宋_GB2312" w:hAnsi="仿宋_GB2312" w:eastAsia="仿宋_GB2312" w:cs="仿宋_GB2312"/>
          <w:smallCaps w:val="0"/>
          <w:color w:val="000000"/>
          <w:spacing w:val="0"/>
          <w:position w:val="0"/>
          <w:sz w:val="32"/>
          <w:szCs w:val="32"/>
          <w:highlight w:val="none"/>
          <w:u w:val="none"/>
          <w:vertAlign w:val="baseline"/>
        </w:rPr>
        <w:t>开具的</w:t>
      </w:r>
      <w:r>
        <w:rPr>
          <w:rFonts w:hint="eastAsia" w:ascii="仿宋_GB2312" w:hAnsi="仿宋_GB2312" w:eastAsia="仿宋_GB2312" w:cs="仿宋_GB2312"/>
          <w:smallCaps w:val="0"/>
          <w:color w:val="000000"/>
          <w:spacing w:val="0"/>
          <w:position w:val="0"/>
          <w:sz w:val="32"/>
          <w:szCs w:val="32"/>
          <w:highlight w:val="none"/>
          <w:u w:val="none"/>
          <w:vertAlign w:val="baseline"/>
          <w:lang w:eastAsia="zh-CN"/>
        </w:rPr>
        <w:t>《退卷通知书》</w:t>
      </w:r>
      <w:r>
        <w:rPr>
          <w:rFonts w:hint="eastAsia" w:ascii="仿宋_GB2312" w:hAnsi="仿宋_GB2312" w:eastAsia="仿宋_GB2312" w:cs="仿宋_GB2312"/>
          <w:smallCaps w:val="0"/>
          <w:color w:val="000000"/>
          <w:spacing w:val="0"/>
          <w:position w:val="0"/>
          <w:sz w:val="32"/>
          <w:szCs w:val="32"/>
          <w:highlight w:val="none"/>
          <w:u w:val="none"/>
          <w:vertAlign w:val="baseline"/>
        </w:rPr>
        <w:t>提出退款申请，经区人力资源和社会保障</w:t>
      </w:r>
      <w:r>
        <w:rPr>
          <w:rFonts w:hint="eastAsia" w:ascii="仿宋_GB2312" w:hAnsi="仿宋_GB2312" w:eastAsia="仿宋_GB2312" w:cs="仿宋_GB2312"/>
          <w:smallCaps w:val="0"/>
          <w:color w:val="000000"/>
          <w:spacing w:val="0"/>
          <w:position w:val="0"/>
          <w:sz w:val="32"/>
          <w:szCs w:val="32"/>
          <w:highlight w:val="none"/>
          <w:u w:val="none"/>
          <w:vertAlign w:val="baseline"/>
          <w:lang w:eastAsia="zh-CN"/>
        </w:rPr>
        <w:t>局</w:t>
      </w:r>
      <w:r>
        <w:rPr>
          <w:rFonts w:hint="eastAsia" w:ascii="仿宋_GB2312" w:hAnsi="仿宋_GB2312" w:eastAsia="仿宋_GB2312" w:cs="仿宋_GB2312"/>
          <w:smallCaps w:val="0"/>
          <w:color w:val="000000"/>
          <w:spacing w:val="0"/>
          <w:position w:val="0"/>
          <w:sz w:val="32"/>
          <w:szCs w:val="32"/>
          <w:highlight w:val="none"/>
          <w:u w:val="none"/>
          <w:vertAlign w:val="baseline"/>
        </w:rPr>
        <w:t>审核同意，</w:t>
      </w:r>
      <w:r>
        <w:rPr>
          <w:rFonts w:hint="eastAsia" w:ascii="仿宋_GB2312" w:hAnsi="仿宋_GB2312" w:eastAsia="仿宋_GB2312" w:cs="仿宋_GB2312"/>
          <w:smallCaps w:val="0"/>
          <w:color w:val="000000"/>
          <w:spacing w:val="0"/>
          <w:position w:val="0"/>
          <w:sz w:val="32"/>
          <w:szCs w:val="32"/>
          <w:highlight w:val="none"/>
          <w:u w:val="none"/>
          <w:vertAlign w:val="baseline"/>
          <w:lang w:eastAsia="zh-CN"/>
        </w:rPr>
        <w:t>区社会保险中心</w:t>
      </w:r>
      <w:r>
        <w:rPr>
          <w:rFonts w:hint="eastAsia" w:ascii="仿宋_GB2312" w:hAnsi="仿宋_GB2312" w:eastAsia="仿宋_GB2312" w:cs="仿宋_GB2312"/>
          <w:smallCaps w:val="0"/>
          <w:color w:val="000000"/>
          <w:spacing w:val="0"/>
          <w:position w:val="0"/>
          <w:sz w:val="32"/>
          <w:szCs w:val="32"/>
          <w:highlight w:val="none"/>
          <w:u w:val="none"/>
          <w:vertAlign w:val="baseline"/>
        </w:rPr>
        <w:t>将预存款退回缴款单位。</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1"/>
        <w:jc w:val="both"/>
        <w:textAlignment w:val="auto"/>
        <w:outlineLvl w:val="9"/>
        <w:rPr>
          <w:rFonts w:hint="eastAsia" w:ascii="仿宋_GB2312" w:hAnsi="仿宋_GB2312" w:eastAsia="仿宋_GB2312" w:cs="仿宋_GB2312"/>
          <w:smallCaps w:val="0"/>
          <w:color w:val="000000"/>
          <w:spacing w:val="0"/>
          <w:position w:val="0"/>
          <w:sz w:val="32"/>
          <w:szCs w:val="32"/>
          <w:highlight w:val="none"/>
          <w:vertAlign w:val="baseline"/>
          <w:lang w:eastAsia="zh-CN"/>
        </w:rPr>
      </w:pPr>
      <w:r>
        <w:rPr>
          <w:rFonts w:hint="eastAsia" w:ascii="楷体_GB2312" w:eastAsia="楷体_GB2312"/>
          <w:sz w:val="32"/>
          <w:szCs w:val="32"/>
          <w:highlight w:val="none"/>
        </w:rPr>
        <w:t>（二）按比例提取风险基金。</w:t>
      </w:r>
      <w:r>
        <w:rPr>
          <w:rFonts w:hint="eastAsia" w:ascii="仿宋_GB2312" w:hAnsi="仿宋_GB2312" w:eastAsia="仿宋_GB2312" w:cs="仿宋_GB2312"/>
          <w:smallCaps w:val="0"/>
          <w:color w:val="000000"/>
          <w:spacing w:val="0"/>
          <w:position w:val="0"/>
          <w:sz w:val="32"/>
          <w:szCs w:val="32"/>
          <w:highlight w:val="none"/>
          <w:vertAlign w:val="baseline"/>
        </w:rPr>
        <w:t>区政府依据国家规定的土地等别和相应的土地出让平均收益标准进行核算，从土地纯收益中提取风险基金，建立被征地</w:t>
      </w:r>
      <w:r>
        <w:rPr>
          <w:rFonts w:hint="eastAsia" w:ascii="仿宋_GB2312" w:hAnsi="仿宋_GB2312" w:eastAsia="仿宋_GB2312" w:cs="仿宋_GB2312"/>
          <w:smallCaps w:val="0"/>
          <w:color w:val="000000"/>
          <w:spacing w:val="0"/>
          <w:position w:val="0"/>
          <w:sz w:val="32"/>
          <w:szCs w:val="32"/>
          <w:highlight w:val="none"/>
          <w:vertAlign w:val="baseline"/>
          <w:lang w:eastAsia="zh-CN"/>
        </w:rPr>
        <w:t>农民</w:t>
      </w:r>
      <w:r>
        <w:rPr>
          <w:rFonts w:hint="eastAsia" w:ascii="仿宋_GB2312" w:hAnsi="仿宋_GB2312" w:eastAsia="仿宋_GB2312" w:cs="仿宋_GB2312"/>
          <w:smallCaps w:val="0"/>
          <w:color w:val="000000"/>
          <w:spacing w:val="0"/>
          <w:position w:val="0"/>
          <w:sz w:val="32"/>
          <w:szCs w:val="32"/>
          <w:highlight w:val="none"/>
          <w:vertAlign w:val="baseline"/>
        </w:rPr>
        <w:t>养老保险风险基金，主要用于弥补被征地</w:t>
      </w:r>
      <w:r>
        <w:rPr>
          <w:rFonts w:hint="eastAsia" w:ascii="仿宋_GB2312" w:hAnsi="仿宋_GB2312" w:eastAsia="仿宋_GB2312" w:cs="仿宋_GB2312"/>
          <w:smallCaps w:val="0"/>
          <w:color w:val="000000"/>
          <w:spacing w:val="0"/>
          <w:position w:val="0"/>
          <w:sz w:val="32"/>
          <w:szCs w:val="32"/>
          <w:highlight w:val="none"/>
          <w:vertAlign w:val="baseline"/>
          <w:lang w:eastAsia="zh-CN"/>
        </w:rPr>
        <w:t>农民</w:t>
      </w:r>
      <w:r>
        <w:rPr>
          <w:rFonts w:hint="eastAsia" w:ascii="仿宋_GB2312" w:hAnsi="仿宋_GB2312" w:eastAsia="仿宋_GB2312" w:cs="仿宋_GB2312"/>
          <w:smallCaps w:val="0"/>
          <w:color w:val="000000"/>
          <w:spacing w:val="0"/>
          <w:position w:val="0"/>
          <w:sz w:val="32"/>
          <w:szCs w:val="32"/>
          <w:highlight w:val="none"/>
          <w:vertAlign w:val="baseline"/>
        </w:rPr>
        <w:t>社会保障费</w:t>
      </w:r>
      <w:r>
        <w:rPr>
          <w:rFonts w:hint="eastAsia" w:ascii="仿宋_GB2312" w:hAnsi="仿宋_GB2312" w:eastAsia="仿宋_GB2312" w:cs="仿宋_GB2312"/>
          <w:smallCaps w:val="0"/>
          <w:color w:val="000000"/>
          <w:spacing w:val="0"/>
          <w:position w:val="0"/>
          <w:sz w:val="32"/>
          <w:szCs w:val="32"/>
          <w:highlight w:val="none"/>
          <w:vertAlign w:val="baseline"/>
          <w:lang w:eastAsia="zh-CN"/>
        </w:rPr>
        <w:t>不足部分和缓解参加城乡居民基本养老保险后的基金支付风险。风险基金</w:t>
      </w:r>
      <w:r>
        <w:rPr>
          <w:rFonts w:hint="eastAsia" w:ascii="仿宋_GB2312" w:hAnsi="仿宋_GB2312" w:eastAsia="仿宋_GB2312" w:cs="仿宋_GB2312"/>
          <w:smallCaps w:val="0"/>
          <w:color w:val="000000"/>
          <w:spacing w:val="0"/>
          <w:position w:val="0"/>
          <w:sz w:val="32"/>
          <w:szCs w:val="32"/>
          <w:highlight w:val="none"/>
          <w:vertAlign w:val="baseline"/>
        </w:rPr>
        <w:t>提取比例为</w:t>
      </w:r>
      <w:r>
        <w:rPr>
          <w:rFonts w:hint="eastAsia" w:ascii="仿宋_GB2312" w:hAnsi="仿宋_GB2312" w:eastAsia="仿宋_GB2312" w:cs="仿宋_GB2312"/>
          <w:smallCaps w:val="0"/>
          <w:color w:val="000000"/>
          <w:spacing w:val="0"/>
          <w:position w:val="0"/>
          <w:sz w:val="32"/>
          <w:szCs w:val="32"/>
          <w:highlight w:val="none"/>
          <w:vertAlign w:val="baseline"/>
          <w:lang w:val="en-US" w:eastAsia="zh-CN"/>
        </w:rPr>
        <w:t>10</w:t>
      </w:r>
      <w:r>
        <w:rPr>
          <w:rFonts w:hint="eastAsia" w:ascii="仿宋_GB2312" w:hAnsi="仿宋_GB2312" w:eastAsia="仿宋_GB2312" w:cs="仿宋_GB2312"/>
          <w:smallCaps w:val="0"/>
          <w:color w:val="000000"/>
          <w:spacing w:val="0"/>
          <w:position w:val="0"/>
          <w:sz w:val="32"/>
          <w:szCs w:val="32"/>
          <w:highlight w:val="none"/>
          <w:vertAlign w:val="baseline"/>
        </w:rPr>
        <w:t>%。风险基金在土地征收时即征即提。</w:t>
      </w:r>
      <w:r>
        <w:rPr>
          <w:rFonts w:hint="eastAsia" w:ascii="仿宋_GB2312" w:hAnsi="仿宋_GB2312" w:eastAsia="仿宋_GB2312" w:cs="仿宋_GB2312"/>
          <w:smallCaps w:val="0"/>
          <w:color w:val="000000"/>
          <w:spacing w:val="0"/>
          <w:position w:val="0"/>
          <w:sz w:val="32"/>
          <w:szCs w:val="32"/>
          <w:highlight w:val="none"/>
          <w:vertAlign w:val="baseline"/>
          <w:lang w:eastAsia="zh-CN"/>
        </w:rPr>
        <w:t>其计算公式为：</w:t>
      </w:r>
    </w:p>
    <w:p>
      <w:pPr>
        <w:keepNext w:val="0"/>
        <w:keepLines w:val="0"/>
        <w:pageBreakBefore w:val="0"/>
        <w:widowControl/>
        <w:numPr>
          <w:ilvl w:val="0"/>
          <w:numId w:val="0"/>
        </w:numPr>
        <w:kinsoku/>
        <w:wordWrap w:val="0"/>
        <w:overflowPunct/>
        <w:topLinePunct w:val="0"/>
        <w:autoSpaceDE/>
        <w:autoSpaceDN/>
        <w:bidi w:val="0"/>
        <w:adjustRightInd/>
        <w:snapToGrid/>
        <w:spacing w:before="0" w:line="560" w:lineRule="exact"/>
        <w:ind w:right="0" w:firstLine="641"/>
        <w:jc w:val="left"/>
        <w:textAlignment w:val="auto"/>
        <w:outlineLvl w:val="9"/>
        <w:rPr>
          <w:rFonts w:hint="eastAsia" w:ascii="仿宋_GB2312" w:hAnsi="仿宋_GB2312" w:eastAsia="仿宋_GB2312" w:cs="仿宋_GB2312"/>
          <w:color w:val="auto"/>
          <w:spacing w:val="0"/>
          <w:position w:val="0"/>
          <w:sz w:val="32"/>
          <w:szCs w:val="32"/>
          <w:highlight w:val="none"/>
        </w:rPr>
      </w:pPr>
      <w:r>
        <w:rPr>
          <w:rFonts w:hint="eastAsia" w:ascii="仿宋_GB2312" w:hAnsi="仿宋_GB2312" w:eastAsia="仿宋_GB2312" w:cs="仿宋_GB2312"/>
          <w:color w:val="auto"/>
          <w:spacing w:val="0"/>
          <w:position w:val="0"/>
          <w:sz w:val="32"/>
          <w:szCs w:val="32"/>
          <w:highlight w:val="none"/>
        </w:rPr>
        <w:t>风险基金=土地出让平均纯收益标准×征地面积×</w:t>
      </w:r>
      <w:r>
        <w:rPr>
          <w:rFonts w:hint="eastAsia" w:ascii="仿宋_GB2312" w:hAnsi="仿宋_GB2312" w:eastAsia="仿宋_GB2312" w:cs="仿宋_GB2312"/>
          <w:color w:val="auto"/>
          <w:spacing w:val="0"/>
          <w:position w:val="0"/>
          <w:sz w:val="32"/>
          <w:szCs w:val="32"/>
          <w:highlight w:val="none"/>
          <w:lang w:val="en-US" w:eastAsia="zh-CN"/>
        </w:rPr>
        <w:t>10</w:t>
      </w:r>
      <w:r>
        <w:rPr>
          <w:rFonts w:hint="eastAsia" w:ascii="仿宋_GB2312" w:hAnsi="仿宋_GB2312" w:eastAsia="仿宋_GB2312" w:cs="仿宋_GB2312"/>
          <w:color w:val="auto"/>
          <w:spacing w:val="0"/>
          <w:position w:val="0"/>
          <w:sz w:val="32"/>
          <w:szCs w:val="32"/>
          <w:highlight w:val="none"/>
        </w:rPr>
        <w:t>%。</w:t>
      </w:r>
    </w:p>
    <w:p>
      <w:pPr>
        <w:keepNext w:val="0"/>
        <w:keepLines w:val="0"/>
        <w:pageBreakBefore w:val="0"/>
        <w:widowControl/>
        <w:numPr>
          <w:ilvl w:val="0"/>
          <w:numId w:val="0"/>
        </w:numPr>
        <w:kinsoku/>
        <w:wordWrap w:val="0"/>
        <w:overflowPunct/>
        <w:topLinePunct w:val="0"/>
        <w:autoSpaceDE/>
        <w:autoSpaceDN/>
        <w:bidi w:val="0"/>
        <w:adjustRightInd/>
        <w:snapToGrid/>
        <w:spacing w:before="0" w:line="560" w:lineRule="exact"/>
        <w:ind w:right="0" w:firstLine="641"/>
        <w:jc w:val="left"/>
        <w:textAlignment w:val="auto"/>
        <w:outlineLvl w:val="9"/>
        <w:rPr>
          <w:rFonts w:hint="eastAsia"/>
          <w:lang w:val="en-US" w:eastAsia="zh-CN"/>
        </w:rPr>
      </w:pPr>
      <w:r>
        <w:rPr>
          <w:rFonts w:hint="eastAsia" w:ascii="仿宋_GB2312" w:hAnsi="仿宋_GB2312" w:eastAsia="仿宋_GB2312" w:cs="仿宋_GB2312"/>
          <w:color w:val="auto"/>
          <w:position w:val="0"/>
          <w:sz w:val="32"/>
          <w:szCs w:val="32"/>
          <w:highlight w:val="none"/>
        </w:rPr>
        <w:t>风险基金由区财政部门实行专户储存，专户管理。</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黑体" w:hAnsi="黑体" w:eastAsia="黑体" w:cs="黑体"/>
          <w:b w:val="0"/>
          <w:smallCaps w:val="0"/>
          <w:color w:val="000000"/>
          <w:spacing w:val="0"/>
          <w:position w:val="0"/>
          <w:sz w:val="32"/>
          <w:szCs w:val="32"/>
          <w:highlight w:val="none"/>
          <w:vertAlign w:val="baseline"/>
        </w:rPr>
      </w:pPr>
      <w:r>
        <w:rPr>
          <w:rFonts w:hint="eastAsia" w:ascii="黑体" w:hAnsi="黑体" w:eastAsia="黑体" w:cs="黑体"/>
          <w:b w:val="0"/>
          <w:color w:val="auto"/>
          <w:position w:val="0"/>
          <w:sz w:val="32"/>
          <w:szCs w:val="32"/>
          <w:highlight w:val="none"/>
          <w:lang w:eastAsia="zh-CN"/>
        </w:rPr>
        <w:t>六</w:t>
      </w:r>
      <w:r>
        <w:rPr>
          <w:rFonts w:hint="eastAsia" w:ascii="黑体" w:hAnsi="黑体" w:eastAsia="黑体" w:cs="黑体"/>
          <w:b w:val="0"/>
          <w:color w:val="auto"/>
          <w:position w:val="0"/>
          <w:sz w:val="32"/>
          <w:szCs w:val="32"/>
          <w:highlight w:val="none"/>
        </w:rPr>
        <w:t>、</w:t>
      </w:r>
      <w:r>
        <w:rPr>
          <w:rFonts w:hint="eastAsia" w:ascii="黑体" w:hAnsi="黑体" w:eastAsia="黑体" w:cs="黑体"/>
          <w:b w:val="0"/>
          <w:color w:val="auto"/>
          <w:position w:val="0"/>
          <w:sz w:val="32"/>
          <w:szCs w:val="32"/>
          <w:highlight w:val="none"/>
          <w:lang w:eastAsia="zh-CN"/>
        </w:rPr>
        <w:t>资金</w:t>
      </w:r>
      <w:r>
        <w:rPr>
          <w:rFonts w:hint="eastAsia" w:ascii="黑体" w:hAnsi="黑体" w:eastAsia="黑体" w:cs="黑体"/>
          <w:b w:val="0"/>
          <w:color w:val="auto"/>
          <w:position w:val="0"/>
          <w:sz w:val="32"/>
          <w:szCs w:val="32"/>
          <w:highlight w:val="none"/>
        </w:rPr>
        <w:t>管理</w:t>
      </w:r>
      <w:r>
        <w:rPr>
          <w:rFonts w:hint="eastAsia" w:ascii="黑体" w:hAnsi="黑体" w:eastAsia="黑体" w:cs="黑体"/>
          <w:b w:val="0"/>
          <w:color w:val="auto"/>
          <w:position w:val="0"/>
          <w:sz w:val="32"/>
          <w:szCs w:val="32"/>
          <w:highlight w:val="none"/>
          <w:lang w:eastAsia="zh-CN"/>
        </w:rPr>
        <w:t>和监</w:t>
      </w:r>
      <w:r>
        <w:rPr>
          <w:rFonts w:hint="eastAsia" w:ascii="黑体" w:hAnsi="黑体" w:eastAsia="黑体" w:cs="黑体"/>
          <w:b w:val="0"/>
          <w:color w:val="auto"/>
          <w:position w:val="0"/>
          <w:sz w:val="32"/>
          <w:szCs w:val="32"/>
          <w:highlight w:val="none"/>
        </w:rPr>
        <w:t>督</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eastAsia" w:ascii="仿宋_GB2312" w:hAnsi="仿宋" w:eastAsia="仿宋_GB2312"/>
          <w:color w:val="000000"/>
          <w:sz w:val="32"/>
          <w:szCs w:val="32"/>
          <w:highlight w:val="none"/>
          <w:lang w:eastAsia="zh-CN"/>
        </w:rPr>
      </w:pPr>
      <w:r>
        <w:rPr>
          <w:rFonts w:hint="eastAsia" w:ascii="仿宋_GB2312" w:hAnsi="仿宋_GB2312" w:eastAsia="仿宋_GB2312" w:cs="仿宋_GB2312"/>
          <w:i w:val="0"/>
          <w:iCs w:val="0"/>
          <w:smallCaps w:val="0"/>
          <w:color w:val="auto"/>
          <w:spacing w:val="0"/>
          <w:position w:val="0"/>
          <w:sz w:val="32"/>
          <w:szCs w:val="32"/>
          <w:highlight w:val="none"/>
          <w:vertAlign w:val="baseline"/>
        </w:rPr>
        <w:t>（一）</w:t>
      </w:r>
      <w:r>
        <w:rPr>
          <w:rFonts w:hint="eastAsia" w:ascii="仿宋_GB2312" w:hAnsi="仿宋" w:eastAsia="仿宋_GB2312"/>
          <w:i w:val="0"/>
          <w:iCs w:val="0"/>
          <w:color w:val="000000"/>
          <w:sz w:val="32"/>
          <w:szCs w:val="32"/>
          <w:highlight w:val="none"/>
          <w:lang w:eastAsia="zh-CN"/>
        </w:rPr>
        <w:t>社会保障费和风险基金以区为单位统筹管理使用，区财政部门统一管理财政专户，区人力资源和社会保障部门设立社会保障费和风险基金收入户和支出户，账户实行独立核算专款专用，任何单位(组织)和个人不得截留、挤占、挪用。要</w:t>
      </w:r>
      <w:r>
        <w:rPr>
          <w:rFonts w:hint="eastAsia" w:ascii="仿宋_GB2312" w:hAnsi="仿宋" w:eastAsia="仿宋_GB2312"/>
          <w:color w:val="000000"/>
          <w:sz w:val="32"/>
          <w:szCs w:val="32"/>
          <w:highlight w:val="none"/>
          <w:lang w:eastAsia="zh-CN"/>
        </w:rPr>
        <w:t>严格执行财务管理相关规定，建立健全业务经办、财务管理、内部控制等风险防控的制度机制，按规定使用被征地农民社会保障费，及时足额划入社会保障费财政专户，定期开展对账和监督检查，防范资金安全风险。社会保障费及其产生的利息不得用于任何形式的投资运营，不得用于平衡一般公共预算或其他支出。</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mallCaps w:val="0"/>
          <w:color w:val="auto"/>
          <w:spacing w:val="0"/>
          <w:position w:val="0"/>
          <w:sz w:val="32"/>
          <w:szCs w:val="32"/>
          <w:highlight w:val="none"/>
          <w:vertAlign w:val="baseline"/>
        </w:rPr>
      </w:pPr>
      <w:r>
        <w:rPr>
          <w:rFonts w:hint="eastAsia" w:ascii="仿宋_GB2312" w:hAnsi="仿宋" w:eastAsia="仿宋_GB2312"/>
          <w:i w:val="0"/>
          <w:iCs w:val="0"/>
          <w:color w:val="000000"/>
          <w:sz w:val="32"/>
          <w:szCs w:val="32"/>
          <w:highlight w:val="none"/>
          <w:lang w:eastAsia="zh-CN"/>
        </w:rPr>
        <w:t>（二）</w:t>
      </w:r>
      <w:r>
        <w:rPr>
          <w:rFonts w:hint="eastAsia" w:ascii="仿宋_GB2312" w:hAnsi="仿宋_GB2312" w:eastAsia="仿宋_GB2312" w:cs="仿宋_GB2312"/>
          <w:i w:val="0"/>
          <w:iCs w:val="0"/>
          <w:smallCaps w:val="0"/>
          <w:color w:val="000000"/>
          <w:spacing w:val="0"/>
          <w:position w:val="0"/>
          <w:sz w:val="32"/>
          <w:szCs w:val="32"/>
          <w:highlight w:val="none"/>
          <w:vertAlign w:val="baseline"/>
        </w:rPr>
        <w:t>政府部门、经办机构、农村集体经济组织及其工作</w:t>
      </w:r>
      <w:r>
        <w:rPr>
          <w:rFonts w:hint="eastAsia" w:ascii="仿宋_GB2312" w:hAnsi="仿宋_GB2312" w:eastAsia="仿宋_GB2312" w:cs="仿宋_GB2312"/>
          <w:i w:val="0"/>
          <w:iCs w:val="0"/>
          <w:smallCaps w:val="0"/>
          <w:color w:val="000000"/>
          <w:spacing w:val="0"/>
          <w:position w:val="0"/>
          <w:sz w:val="32"/>
          <w:szCs w:val="32"/>
          <w:highlight w:val="none"/>
          <w:vertAlign w:val="baseline"/>
          <w:lang w:eastAsia="zh-CN"/>
        </w:rPr>
        <w:t>人员，在工作中存在</w:t>
      </w:r>
      <w:r>
        <w:rPr>
          <w:rFonts w:hint="eastAsia" w:ascii="仿宋_GB2312" w:hAnsi="仿宋_GB2312" w:eastAsia="仿宋_GB2312" w:cs="仿宋_GB2312"/>
          <w:i w:val="0"/>
          <w:iCs w:val="0"/>
          <w:smallCaps w:val="0"/>
          <w:color w:val="000000"/>
          <w:spacing w:val="0"/>
          <w:position w:val="0"/>
          <w:sz w:val="32"/>
          <w:szCs w:val="32"/>
          <w:highlight w:val="none"/>
          <w:vertAlign w:val="baseline"/>
        </w:rPr>
        <w:t>玩忽职守、滥用职权、徇私舞弊、弄虚作假等行为，造成被征地</w:t>
      </w:r>
      <w:r>
        <w:rPr>
          <w:rFonts w:hint="eastAsia" w:ascii="仿宋_GB2312" w:hAnsi="仿宋_GB2312" w:eastAsia="仿宋_GB2312" w:cs="仿宋_GB2312"/>
          <w:i w:val="0"/>
          <w:iCs w:val="0"/>
          <w:smallCaps w:val="0"/>
          <w:color w:val="000000"/>
          <w:spacing w:val="0"/>
          <w:position w:val="0"/>
          <w:sz w:val="32"/>
          <w:szCs w:val="32"/>
          <w:highlight w:val="none"/>
          <w:vertAlign w:val="baseline"/>
          <w:lang w:eastAsia="zh-CN"/>
        </w:rPr>
        <w:t>农民</w:t>
      </w:r>
      <w:r>
        <w:rPr>
          <w:rFonts w:hint="eastAsia" w:ascii="仿宋_GB2312" w:hAnsi="仿宋_GB2312" w:eastAsia="仿宋_GB2312" w:cs="仿宋_GB2312"/>
          <w:i w:val="0"/>
          <w:iCs w:val="0"/>
          <w:smallCaps w:val="0"/>
          <w:color w:val="000000"/>
          <w:spacing w:val="0"/>
          <w:position w:val="0"/>
          <w:sz w:val="32"/>
          <w:szCs w:val="32"/>
          <w:highlight w:val="none"/>
          <w:vertAlign w:val="baseline"/>
        </w:rPr>
        <w:t>养老保障资金未能足额</w:t>
      </w:r>
      <w:r>
        <w:rPr>
          <w:rFonts w:hint="eastAsia" w:ascii="仿宋_GB2312" w:hAnsi="仿宋_GB2312" w:eastAsia="仿宋_GB2312" w:cs="仿宋_GB2312"/>
          <w:i w:val="0"/>
          <w:iCs w:val="0"/>
          <w:smallCaps w:val="0"/>
          <w:color w:val="000000"/>
          <w:spacing w:val="0"/>
          <w:position w:val="0"/>
          <w:sz w:val="32"/>
          <w:szCs w:val="32"/>
          <w:highlight w:val="none"/>
          <w:vertAlign w:val="baseline"/>
          <w:lang w:eastAsia="zh-CN"/>
        </w:rPr>
        <w:t>落实</w:t>
      </w:r>
      <w:r>
        <w:rPr>
          <w:rFonts w:hint="eastAsia" w:ascii="仿宋_GB2312" w:hAnsi="仿宋_GB2312" w:eastAsia="仿宋_GB2312" w:cs="仿宋_GB2312"/>
          <w:i w:val="0"/>
          <w:iCs w:val="0"/>
          <w:smallCaps w:val="0"/>
          <w:color w:val="000000"/>
          <w:spacing w:val="0"/>
          <w:position w:val="0"/>
          <w:sz w:val="32"/>
          <w:szCs w:val="32"/>
          <w:highlight w:val="none"/>
          <w:vertAlign w:val="baseline"/>
        </w:rPr>
        <w:t>到位</w:t>
      </w:r>
      <w:r>
        <w:rPr>
          <w:rFonts w:hint="eastAsia" w:ascii="仿宋_GB2312" w:hAnsi="仿宋_GB2312" w:eastAsia="仿宋_GB2312" w:cs="仿宋_GB2312"/>
          <w:i w:val="0"/>
          <w:iCs w:val="0"/>
          <w:smallCaps w:val="0"/>
          <w:color w:val="000000"/>
          <w:spacing w:val="0"/>
          <w:position w:val="0"/>
          <w:sz w:val="32"/>
          <w:szCs w:val="32"/>
          <w:highlight w:val="none"/>
          <w:vertAlign w:val="baseline"/>
          <w:lang w:eastAsia="zh-CN"/>
        </w:rPr>
        <w:t>、</w:t>
      </w:r>
      <w:r>
        <w:rPr>
          <w:rFonts w:hint="eastAsia" w:ascii="仿宋_GB2312" w:hAnsi="仿宋_GB2312" w:eastAsia="仿宋_GB2312" w:cs="仿宋_GB2312"/>
          <w:i w:val="0"/>
          <w:iCs w:val="0"/>
          <w:smallCaps w:val="0"/>
          <w:color w:val="000000"/>
          <w:spacing w:val="0"/>
          <w:position w:val="0"/>
          <w:sz w:val="32"/>
          <w:szCs w:val="32"/>
          <w:highlight w:val="none"/>
          <w:vertAlign w:val="baseline"/>
        </w:rPr>
        <w:t>违规</w:t>
      </w:r>
      <w:r>
        <w:rPr>
          <w:rFonts w:hint="eastAsia" w:ascii="仿宋_GB2312" w:hAnsi="仿宋_GB2312" w:eastAsia="仿宋_GB2312" w:cs="仿宋_GB2312"/>
          <w:i w:val="0"/>
          <w:iCs w:val="0"/>
          <w:smallCaps w:val="0"/>
          <w:color w:val="000000"/>
          <w:spacing w:val="0"/>
          <w:position w:val="0"/>
          <w:sz w:val="32"/>
          <w:szCs w:val="32"/>
          <w:highlight w:val="none"/>
          <w:vertAlign w:val="baseline"/>
          <w:lang w:eastAsia="zh-CN"/>
        </w:rPr>
        <w:t>截留挤占</w:t>
      </w:r>
      <w:r>
        <w:rPr>
          <w:rFonts w:hint="eastAsia" w:ascii="仿宋_GB2312" w:hAnsi="仿宋_GB2312" w:eastAsia="仿宋_GB2312" w:cs="仿宋_GB2312"/>
          <w:i w:val="0"/>
          <w:iCs w:val="0"/>
          <w:smallCaps w:val="0"/>
          <w:color w:val="000000"/>
          <w:spacing w:val="0"/>
          <w:position w:val="0"/>
          <w:sz w:val="32"/>
          <w:szCs w:val="32"/>
          <w:highlight w:val="none"/>
          <w:vertAlign w:val="baseline"/>
        </w:rPr>
        <w:t>挪用的，</w:t>
      </w:r>
      <w:r>
        <w:rPr>
          <w:rFonts w:hint="eastAsia" w:ascii="仿宋_GB2312" w:hAnsi="仿宋_GB2312" w:eastAsia="仿宋_GB2312" w:cs="仿宋_GB2312"/>
          <w:i w:val="0"/>
          <w:iCs w:val="0"/>
          <w:smallCaps w:val="0"/>
          <w:color w:val="000000"/>
          <w:spacing w:val="0"/>
          <w:position w:val="0"/>
          <w:sz w:val="32"/>
          <w:szCs w:val="32"/>
          <w:highlight w:val="none"/>
          <w:vertAlign w:val="baseline"/>
          <w:lang w:eastAsia="zh-CN"/>
        </w:rPr>
        <w:t>依规依纪追究相关人员责任；涉嫌构成</w:t>
      </w:r>
      <w:r>
        <w:rPr>
          <w:rFonts w:hint="eastAsia" w:ascii="仿宋_GB2312" w:hAnsi="仿宋_GB2312" w:eastAsia="仿宋_GB2312" w:cs="仿宋_GB2312"/>
          <w:i w:val="0"/>
          <w:iCs w:val="0"/>
          <w:smallCaps w:val="0"/>
          <w:color w:val="000000"/>
          <w:spacing w:val="0"/>
          <w:position w:val="0"/>
          <w:sz w:val="32"/>
          <w:szCs w:val="32"/>
          <w:highlight w:val="none"/>
          <w:vertAlign w:val="baseline"/>
        </w:rPr>
        <w:t>犯罪的，依法</w:t>
      </w:r>
      <w:r>
        <w:rPr>
          <w:rFonts w:hint="eastAsia" w:ascii="仿宋_GB2312" w:hAnsi="仿宋_GB2312" w:eastAsia="仿宋_GB2312" w:cs="仿宋_GB2312"/>
          <w:i w:val="0"/>
          <w:iCs w:val="0"/>
          <w:smallCaps w:val="0"/>
          <w:color w:val="000000"/>
          <w:spacing w:val="0"/>
          <w:position w:val="0"/>
          <w:sz w:val="32"/>
          <w:szCs w:val="32"/>
          <w:highlight w:val="none"/>
          <w:vertAlign w:val="baseline"/>
          <w:lang w:eastAsia="zh-CN"/>
        </w:rPr>
        <w:t>移送司法机关</w:t>
      </w:r>
      <w:r>
        <w:rPr>
          <w:rFonts w:hint="eastAsia" w:ascii="仿宋_GB2312" w:hAnsi="仿宋_GB2312" w:eastAsia="仿宋_GB2312" w:cs="仿宋_GB2312"/>
          <w:i w:val="0"/>
          <w:iCs w:val="0"/>
          <w:smallCaps w:val="0"/>
          <w:color w:val="000000"/>
          <w:spacing w:val="0"/>
          <w:position w:val="0"/>
          <w:sz w:val="32"/>
          <w:szCs w:val="32"/>
          <w:highlight w:val="none"/>
          <w:vertAlign w:val="baseline"/>
        </w:rPr>
        <w:t>追究刑事责任。</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b w:val="0"/>
          <w:color w:val="auto"/>
          <w:position w:val="0"/>
          <w:sz w:val="32"/>
          <w:szCs w:val="32"/>
          <w:highlight w:val="none"/>
        </w:rPr>
      </w:pPr>
      <w:r>
        <w:rPr>
          <w:rFonts w:hint="eastAsia" w:ascii="黑体" w:hAnsi="黑体" w:eastAsia="黑体" w:cs="黑体"/>
          <w:b w:val="0"/>
          <w:color w:val="auto"/>
          <w:position w:val="0"/>
          <w:sz w:val="32"/>
          <w:szCs w:val="32"/>
          <w:highlight w:val="none"/>
          <w:lang w:eastAsia="zh-CN"/>
        </w:rPr>
        <w:t>七</w:t>
      </w:r>
      <w:r>
        <w:rPr>
          <w:rFonts w:hint="eastAsia" w:ascii="黑体" w:hAnsi="黑体" w:eastAsia="黑体" w:cs="黑体"/>
          <w:b w:val="0"/>
          <w:color w:val="auto"/>
          <w:position w:val="0"/>
          <w:sz w:val="32"/>
          <w:szCs w:val="32"/>
          <w:highlight w:val="none"/>
        </w:rPr>
        <w:t>、工作责任及要求</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position w:val="0"/>
          <w:sz w:val="32"/>
          <w:szCs w:val="32"/>
          <w:highlight w:val="none"/>
          <w:lang w:val="en-US" w:eastAsia="zh-CN"/>
        </w:rPr>
      </w:pPr>
      <w:r>
        <w:rPr>
          <w:rFonts w:hint="eastAsia" w:ascii="仿宋_GB2312" w:hAnsi="仿宋_GB2312" w:eastAsia="仿宋_GB2312" w:cs="仿宋_GB2312"/>
          <w:color w:val="auto"/>
          <w:position w:val="0"/>
          <w:sz w:val="32"/>
          <w:szCs w:val="32"/>
          <w:highlight w:val="none"/>
          <w:lang w:eastAsia="zh-CN"/>
        </w:rPr>
        <w:t>区人民政府对本行政区域内被征地农民社会保障工作负主体责任，政府主要负责同志为第一责任人。成立</w:t>
      </w:r>
      <w:r>
        <w:rPr>
          <w:rFonts w:hint="eastAsia" w:ascii="仿宋_GB2312" w:hAnsi="仿宋_GB2312" w:eastAsia="仿宋_GB2312" w:cs="仿宋_GB2312"/>
          <w:color w:val="auto"/>
          <w:position w:val="0"/>
          <w:sz w:val="32"/>
          <w:szCs w:val="32"/>
          <w:highlight w:val="none"/>
          <w:lang w:val="en-US" w:eastAsia="zh-CN"/>
        </w:rPr>
        <w:t>被征地农民基本养老保险缴费补贴工作领导小组及领导小组办公室，办公室设在区人力资源和社会保障局，由区人力资源和社会保障局主要领导任办公室主任。</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position w:val="0"/>
          <w:sz w:val="32"/>
          <w:szCs w:val="32"/>
          <w:highlight w:val="none"/>
          <w:lang w:val="en-US" w:eastAsia="zh-CN"/>
        </w:rPr>
      </w:pPr>
      <w:r>
        <w:rPr>
          <w:rFonts w:hint="eastAsia" w:ascii="仿宋_GB2312" w:hAnsi="仿宋_GB2312" w:eastAsia="仿宋_GB2312" w:cs="仿宋_GB2312"/>
          <w:color w:val="auto"/>
          <w:position w:val="0"/>
          <w:sz w:val="32"/>
          <w:szCs w:val="32"/>
          <w:highlight w:val="none"/>
          <w:lang w:val="en-US" w:eastAsia="zh-CN"/>
        </w:rPr>
        <w:t>领导小组各成员单位分工负责、密切配合。</w:t>
      </w:r>
    </w:p>
    <w:p>
      <w:pPr>
        <w:rPr>
          <w:rFonts w:hint="eastAsia" w:ascii="仿宋_GB2312" w:hAnsi="仿宋_GB2312" w:eastAsia="仿宋_GB2312" w:cs="仿宋_GB2312"/>
          <w:color w:val="auto"/>
          <w:position w:val="0"/>
          <w:sz w:val="32"/>
          <w:szCs w:val="32"/>
          <w:highlight w:val="none"/>
        </w:rPr>
      </w:pPr>
      <w:r>
        <w:rPr>
          <w:rFonts w:hint="eastAsia" w:ascii="仿宋_GB2312" w:hAnsi="仿宋_GB2312" w:eastAsia="仿宋_GB2312" w:cs="仿宋_GB2312"/>
          <w:color w:val="auto"/>
          <w:position w:val="0"/>
          <w:sz w:val="32"/>
          <w:szCs w:val="32"/>
          <w:highlight w:val="none"/>
          <w:lang w:val="en-US" w:eastAsia="zh-CN"/>
        </w:rPr>
        <w:t xml:space="preserve">    1、</w:t>
      </w:r>
      <w:r>
        <w:rPr>
          <w:rFonts w:hint="eastAsia" w:ascii="仿宋_GB2312" w:hAnsi="仿宋_GB2312" w:eastAsia="仿宋_GB2312" w:cs="仿宋_GB2312"/>
          <w:color w:val="auto"/>
          <w:position w:val="0"/>
          <w:sz w:val="32"/>
          <w:szCs w:val="32"/>
          <w:highlight w:val="none"/>
        </w:rPr>
        <w:t>区人力资源和社会保障</w:t>
      </w:r>
      <w:r>
        <w:rPr>
          <w:rFonts w:hint="eastAsia" w:ascii="仿宋_GB2312" w:hAnsi="仿宋_GB2312" w:eastAsia="仿宋_GB2312" w:cs="仿宋_GB2312"/>
          <w:color w:val="auto"/>
          <w:position w:val="0"/>
          <w:sz w:val="32"/>
          <w:szCs w:val="32"/>
          <w:highlight w:val="none"/>
          <w:lang w:eastAsia="zh-CN"/>
        </w:rPr>
        <w:t>局履行牵头职责，负责被征地农民基本养老保险缴费补贴实施方案的制定；区社会保险中心</w:t>
      </w:r>
      <w:r>
        <w:rPr>
          <w:rFonts w:hint="eastAsia" w:ascii="仿宋_GB2312" w:hAnsi="仿宋_GB2312" w:eastAsia="仿宋_GB2312" w:cs="仿宋_GB2312"/>
          <w:color w:val="auto"/>
          <w:position w:val="0"/>
          <w:sz w:val="32"/>
          <w:szCs w:val="32"/>
          <w:highlight w:val="none"/>
        </w:rPr>
        <w:t>负责</w:t>
      </w:r>
      <w:r>
        <w:rPr>
          <w:rFonts w:hint="eastAsia" w:ascii="仿宋_GB2312" w:hAnsi="仿宋_GB2312" w:eastAsia="仿宋_GB2312" w:cs="仿宋_GB2312"/>
          <w:sz w:val="32"/>
          <w:szCs w:val="32"/>
          <w:highlight w:val="none"/>
        </w:rPr>
        <w:t>社会保障费收缴、收入户及支出户管理</w:t>
      </w:r>
      <w:r>
        <w:rPr>
          <w:rFonts w:hint="eastAsia" w:ascii="仿宋_GB2312" w:hAnsi="仿宋_GB2312" w:eastAsia="仿宋_GB2312" w:cs="仿宋_GB2312"/>
          <w:sz w:val="32"/>
          <w:szCs w:val="32"/>
          <w:highlight w:val="none"/>
          <w:lang w:eastAsia="zh-CN"/>
        </w:rPr>
        <w:t>，</w:t>
      </w:r>
      <w:r>
        <w:rPr>
          <w:rFonts w:hint="eastAsia" w:ascii="仿宋_GB2312" w:eastAsia="仿宋_GB2312"/>
          <w:sz w:val="32"/>
          <w:szCs w:val="32"/>
          <w:highlight w:val="none"/>
        </w:rPr>
        <w:t>负责组织被征地农民参保缴费、登记，待遇发放以及各种养老保险关系的转移接续工作。</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position w:val="0"/>
          <w:sz w:val="32"/>
          <w:szCs w:val="32"/>
          <w:highlight w:val="none"/>
          <w:lang w:eastAsia="zh-CN"/>
        </w:rPr>
      </w:pPr>
      <w:r>
        <w:rPr>
          <w:rFonts w:hint="eastAsia" w:ascii="仿宋_GB2312" w:hAnsi="仿宋_GB2312" w:eastAsia="仿宋_GB2312" w:cs="仿宋_GB2312"/>
          <w:color w:val="auto"/>
          <w:position w:val="0"/>
          <w:sz w:val="32"/>
          <w:szCs w:val="32"/>
          <w:highlight w:val="none"/>
          <w:lang w:val="en-US" w:eastAsia="zh-CN"/>
        </w:rPr>
        <w:t>2、</w:t>
      </w:r>
      <w:r>
        <w:rPr>
          <w:rFonts w:hint="eastAsia" w:ascii="仿宋_GB2312" w:hAnsi="仿宋_GB2312" w:eastAsia="仿宋_GB2312" w:cs="仿宋_GB2312"/>
          <w:color w:val="auto"/>
          <w:position w:val="0"/>
          <w:sz w:val="32"/>
          <w:szCs w:val="32"/>
          <w:highlight w:val="none"/>
          <w:lang w:eastAsia="zh-CN"/>
        </w:rPr>
        <w:t>区</w:t>
      </w:r>
      <w:r>
        <w:rPr>
          <w:rFonts w:hint="eastAsia" w:ascii="仿宋_GB2312" w:hAnsi="仿宋_GB2312" w:eastAsia="仿宋_GB2312" w:cs="仿宋_GB2312"/>
          <w:color w:val="auto"/>
          <w:position w:val="0"/>
          <w:sz w:val="32"/>
          <w:szCs w:val="32"/>
          <w:highlight w:val="none"/>
        </w:rPr>
        <w:t>财政</w:t>
      </w:r>
      <w:r>
        <w:rPr>
          <w:rFonts w:hint="eastAsia" w:ascii="仿宋_GB2312" w:hAnsi="仿宋_GB2312" w:eastAsia="仿宋_GB2312" w:cs="仿宋_GB2312"/>
          <w:color w:val="auto"/>
          <w:position w:val="0"/>
          <w:sz w:val="32"/>
          <w:szCs w:val="32"/>
          <w:highlight w:val="none"/>
          <w:lang w:eastAsia="zh-CN"/>
        </w:rPr>
        <w:t>局</w:t>
      </w:r>
      <w:r>
        <w:rPr>
          <w:rFonts w:hint="eastAsia" w:ascii="仿宋_GB2312" w:hAnsi="仿宋_GB2312" w:eastAsia="仿宋_GB2312" w:cs="仿宋_GB2312"/>
          <w:color w:val="auto"/>
          <w:position w:val="0"/>
          <w:sz w:val="32"/>
          <w:szCs w:val="32"/>
          <w:highlight w:val="none"/>
        </w:rPr>
        <w:t>负责</w:t>
      </w:r>
      <w:r>
        <w:rPr>
          <w:rFonts w:hint="eastAsia" w:ascii="仿宋_GB2312" w:hAnsi="仿宋_GB2312" w:eastAsia="仿宋_GB2312" w:cs="仿宋_GB2312"/>
          <w:color w:val="auto"/>
          <w:position w:val="0"/>
          <w:sz w:val="32"/>
          <w:szCs w:val="32"/>
          <w:highlight w:val="none"/>
          <w:lang w:eastAsia="zh-CN"/>
        </w:rPr>
        <w:t>财政专户中社会保障费和风险基金管理及资金拨付等。</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position w:val="0"/>
          <w:sz w:val="32"/>
          <w:szCs w:val="32"/>
          <w:highlight w:val="none"/>
          <w:lang w:val="en-US" w:eastAsia="zh-CN"/>
        </w:rPr>
      </w:pPr>
      <w:r>
        <w:rPr>
          <w:rFonts w:hint="eastAsia" w:ascii="仿宋_GB2312" w:hAnsi="仿宋_GB2312" w:eastAsia="仿宋_GB2312" w:cs="仿宋_GB2312"/>
          <w:color w:val="auto"/>
          <w:position w:val="0"/>
          <w:sz w:val="32"/>
          <w:szCs w:val="32"/>
          <w:highlight w:val="none"/>
          <w:lang w:val="en-US" w:eastAsia="zh-CN"/>
        </w:rPr>
        <w:t>3、石家庄市公安局新华分局负责做好被征地农民的户籍认定工作。</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position w:val="0"/>
          <w:sz w:val="32"/>
          <w:szCs w:val="32"/>
          <w:highlight w:val="none"/>
          <w:lang w:val="en-US" w:eastAsia="zh-CN"/>
        </w:rPr>
      </w:pPr>
      <w:r>
        <w:rPr>
          <w:rFonts w:hint="eastAsia" w:ascii="仿宋_GB2312" w:hAnsi="仿宋_GB2312" w:eastAsia="仿宋_GB2312" w:cs="仿宋_GB2312"/>
          <w:color w:val="auto"/>
          <w:position w:val="0"/>
          <w:sz w:val="32"/>
          <w:szCs w:val="32"/>
          <w:highlight w:val="none"/>
          <w:lang w:val="en-US" w:eastAsia="zh-CN"/>
        </w:rPr>
        <w:t>4、区</w:t>
      </w:r>
      <w:r>
        <w:rPr>
          <w:rFonts w:hint="eastAsia" w:ascii="仿宋_GB2312" w:hAnsi="仿宋_GB2312" w:eastAsia="仿宋_GB2312" w:cs="仿宋_GB2312"/>
          <w:color w:val="auto"/>
          <w:position w:val="0"/>
          <w:sz w:val="32"/>
          <w:szCs w:val="32"/>
          <w:highlight w:val="none"/>
        </w:rPr>
        <w:t>自然资源和</w:t>
      </w:r>
      <w:r>
        <w:rPr>
          <w:rFonts w:hint="eastAsia" w:ascii="仿宋_GB2312" w:hAnsi="仿宋_GB2312" w:eastAsia="仿宋_GB2312" w:cs="仿宋_GB2312"/>
          <w:color w:val="auto"/>
          <w:position w:val="0"/>
          <w:sz w:val="32"/>
          <w:szCs w:val="32"/>
          <w:highlight w:val="none"/>
          <w:lang w:eastAsia="zh-CN"/>
        </w:rPr>
        <w:t>规划局</w:t>
      </w:r>
      <w:r>
        <w:rPr>
          <w:rFonts w:hint="eastAsia" w:ascii="仿宋_GB2312" w:hAnsi="仿宋_GB2312" w:eastAsia="仿宋_GB2312" w:cs="仿宋_GB2312"/>
          <w:color w:val="auto"/>
          <w:position w:val="0"/>
          <w:sz w:val="32"/>
          <w:szCs w:val="32"/>
          <w:highlight w:val="none"/>
        </w:rPr>
        <w:t>负责做好用地审查、被征地</w:t>
      </w:r>
      <w:r>
        <w:rPr>
          <w:rFonts w:hint="eastAsia" w:ascii="仿宋_GB2312" w:hAnsi="仿宋_GB2312" w:eastAsia="仿宋_GB2312" w:cs="仿宋_GB2312"/>
          <w:color w:val="auto"/>
          <w:position w:val="0"/>
          <w:sz w:val="32"/>
          <w:szCs w:val="32"/>
          <w:highlight w:val="none"/>
          <w:lang w:eastAsia="zh-CN"/>
        </w:rPr>
        <w:t>农民</w:t>
      </w:r>
      <w:r>
        <w:rPr>
          <w:rFonts w:hint="eastAsia" w:ascii="仿宋_GB2312" w:hAnsi="仿宋_GB2312" w:eastAsia="仿宋_GB2312" w:cs="仿宋_GB2312"/>
          <w:color w:val="auto"/>
          <w:position w:val="0"/>
          <w:sz w:val="32"/>
          <w:szCs w:val="32"/>
          <w:highlight w:val="none"/>
        </w:rPr>
        <w:t>的调查登记和</w:t>
      </w:r>
      <w:r>
        <w:rPr>
          <w:rFonts w:hint="eastAsia" w:ascii="仿宋_GB2312" w:hAnsi="仿宋_GB2312" w:eastAsia="仿宋_GB2312" w:cs="仿宋_GB2312"/>
          <w:color w:val="auto"/>
          <w:position w:val="0"/>
          <w:sz w:val="32"/>
          <w:szCs w:val="32"/>
          <w:highlight w:val="none"/>
          <w:lang w:eastAsia="zh-CN"/>
        </w:rPr>
        <w:t>核定</w:t>
      </w:r>
      <w:r>
        <w:rPr>
          <w:rFonts w:hint="eastAsia" w:ascii="仿宋_GB2312" w:hAnsi="仿宋_GB2312" w:eastAsia="仿宋_GB2312" w:cs="仿宋_GB2312"/>
          <w:color w:val="auto"/>
          <w:position w:val="0"/>
          <w:sz w:val="32"/>
          <w:szCs w:val="32"/>
          <w:highlight w:val="none"/>
        </w:rPr>
        <w:t>征地</w:t>
      </w:r>
      <w:r>
        <w:rPr>
          <w:rFonts w:hint="eastAsia" w:ascii="仿宋_GB2312" w:hAnsi="仿宋_GB2312" w:eastAsia="仿宋_GB2312" w:cs="仿宋_GB2312"/>
          <w:color w:val="auto"/>
          <w:position w:val="0"/>
          <w:sz w:val="32"/>
          <w:szCs w:val="32"/>
          <w:highlight w:val="none"/>
          <w:lang w:eastAsia="zh-CN"/>
        </w:rPr>
        <w:t>面积等</w:t>
      </w:r>
      <w:r>
        <w:rPr>
          <w:rFonts w:hint="eastAsia" w:ascii="仿宋_GB2312" w:hAnsi="仿宋_GB2312" w:eastAsia="仿宋_GB2312" w:cs="仿宋_GB2312"/>
          <w:color w:val="auto"/>
          <w:position w:val="0"/>
          <w:sz w:val="32"/>
          <w:szCs w:val="32"/>
          <w:highlight w:val="none"/>
        </w:rPr>
        <w:t>工作</w:t>
      </w:r>
      <w:r>
        <w:rPr>
          <w:rFonts w:hint="eastAsia" w:ascii="仿宋_GB2312" w:hAnsi="仿宋_GB2312" w:eastAsia="仿宋_GB2312" w:cs="仿宋_GB2312"/>
          <w:color w:val="auto"/>
          <w:position w:val="0"/>
          <w:sz w:val="32"/>
          <w:szCs w:val="32"/>
          <w:highlight w:val="none"/>
          <w:lang w:val="en-US" w:eastAsia="zh-CN"/>
        </w:rPr>
        <w:t>。</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jc w:val="both"/>
        <w:textAlignment w:val="auto"/>
        <w:outlineLvl w:val="9"/>
        <w:rPr>
          <w:rFonts w:hint="eastAsia" w:ascii="仿宋_GB2312" w:hAnsi="仿宋_GB2312" w:eastAsia="仿宋_GB2312" w:cs="仿宋_GB2312"/>
          <w:color w:val="auto"/>
          <w:position w:val="0"/>
          <w:sz w:val="32"/>
          <w:szCs w:val="32"/>
          <w:highlight w:val="none"/>
          <w:u w:val="none"/>
        </w:rPr>
      </w:pPr>
      <w:r>
        <w:rPr>
          <w:rFonts w:hint="eastAsia" w:ascii="仿宋_GB2312" w:hAnsi="仿宋_GB2312" w:eastAsia="仿宋_GB2312" w:cs="仿宋_GB2312"/>
          <w:color w:val="auto"/>
          <w:position w:val="0"/>
          <w:sz w:val="32"/>
          <w:szCs w:val="32"/>
          <w:highlight w:val="none"/>
          <w:lang w:val="en-US" w:eastAsia="zh-CN"/>
        </w:rPr>
        <w:t xml:space="preserve">    5、</w:t>
      </w:r>
      <w:r>
        <w:rPr>
          <w:rFonts w:hint="eastAsia" w:ascii="仿宋_GB2312" w:hAnsi="仿宋_GB2312" w:eastAsia="仿宋_GB2312" w:cs="仿宋_GB2312"/>
          <w:color w:val="auto"/>
          <w:position w:val="0"/>
          <w:sz w:val="32"/>
          <w:szCs w:val="32"/>
          <w:highlight w:val="none"/>
          <w:u w:val="none"/>
          <w:lang w:eastAsia="zh-CN"/>
        </w:rPr>
        <w:t>区</w:t>
      </w:r>
      <w:r>
        <w:rPr>
          <w:rFonts w:hint="eastAsia" w:ascii="仿宋_GB2312" w:hAnsi="仿宋_GB2312" w:eastAsia="仿宋_GB2312" w:cs="仿宋_GB2312"/>
          <w:color w:val="auto"/>
          <w:position w:val="0"/>
          <w:sz w:val="32"/>
          <w:szCs w:val="32"/>
          <w:highlight w:val="none"/>
          <w:u w:val="none"/>
        </w:rPr>
        <w:t>农业农村</w:t>
      </w:r>
      <w:r>
        <w:rPr>
          <w:rFonts w:hint="eastAsia" w:ascii="仿宋_GB2312" w:hAnsi="仿宋_GB2312" w:eastAsia="仿宋_GB2312" w:cs="仿宋_GB2312"/>
          <w:color w:val="auto"/>
          <w:position w:val="0"/>
          <w:sz w:val="32"/>
          <w:szCs w:val="32"/>
          <w:highlight w:val="none"/>
          <w:u w:val="none"/>
          <w:lang w:eastAsia="zh-CN"/>
        </w:rPr>
        <w:t>局</w:t>
      </w:r>
      <w:r>
        <w:rPr>
          <w:rFonts w:hint="eastAsia" w:ascii="仿宋_GB2312" w:hAnsi="仿宋_GB2312" w:eastAsia="仿宋_GB2312" w:cs="仿宋_GB2312"/>
          <w:color w:val="auto"/>
          <w:position w:val="0"/>
          <w:sz w:val="32"/>
          <w:szCs w:val="32"/>
          <w:highlight w:val="none"/>
          <w:u w:val="none"/>
        </w:rPr>
        <w:t>负责</w:t>
      </w:r>
      <w:r>
        <w:rPr>
          <w:rFonts w:hint="eastAsia" w:ascii="仿宋_GB2312" w:hAnsi="仿宋_GB2312" w:eastAsia="仿宋_GB2312" w:cs="仿宋_GB2312"/>
          <w:color w:val="auto"/>
          <w:position w:val="0"/>
          <w:sz w:val="32"/>
          <w:szCs w:val="32"/>
          <w:highlight w:val="none"/>
          <w:u w:val="none"/>
          <w:lang w:eastAsia="zh-CN"/>
        </w:rPr>
        <w:t>核实</w:t>
      </w:r>
      <w:r>
        <w:rPr>
          <w:rFonts w:hint="eastAsia" w:ascii="仿宋_GB2312" w:hAnsi="仿宋_GB2312" w:eastAsia="仿宋_GB2312" w:cs="仿宋_GB2312"/>
          <w:color w:val="auto"/>
          <w:position w:val="0"/>
          <w:sz w:val="32"/>
          <w:szCs w:val="32"/>
          <w:highlight w:val="none"/>
          <w:u w:val="none"/>
        </w:rPr>
        <w:t>被征地</w:t>
      </w:r>
      <w:r>
        <w:rPr>
          <w:rFonts w:hint="eastAsia" w:ascii="仿宋_GB2312" w:hAnsi="仿宋_GB2312" w:eastAsia="仿宋_GB2312" w:cs="仿宋_GB2312"/>
          <w:color w:val="auto"/>
          <w:position w:val="0"/>
          <w:sz w:val="32"/>
          <w:szCs w:val="32"/>
          <w:highlight w:val="none"/>
          <w:u w:val="none"/>
          <w:lang w:eastAsia="zh-CN"/>
        </w:rPr>
        <w:t>家庭承包土地面积和指导农村集体经济组织确认成员身份等</w:t>
      </w:r>
      <w:r>
        <w:rPr>
          <w:rFonts w:hint="eastAsia" w:ascii="仿宋_GB2312" w:hAnsi="仿宋_GB2312" w:eastAsia="仿宋_GB2312" w:cs="仿宋_GB2312"/>
          <w:color w:val="auto"/>
          <w:position w:val="0"/>
          <w:sz w:val="32"/>
          <w:szCs w:val="32"/>
          <w:highlight w:val="none"/>
          <w:u w:val="none"/>
        </w:rPr>
        <w:t>。</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仿宋_GB2312" w:hAnsi="仿宋_GB2312" w:eastAsia="仿宋_GB2312" w:cs="仿宋_GB2312"/>
          <w:color w:val="auto"/>
          <w:position w:val="0"/>
          <w:sz w:val="32"/>
          <w:szCs w:val="32"/>
          <w:highlight w:val="none"/>
          <w:lang w:eastAsia="zh-CN"/>
        </w:rPr>
      </w:pPr>
      <w:r>
        <w:rPr>
          <w:rFonts w:hint="eastAsia" w:ascii="仿宋_GB2312" w:hAnsi="仿宋_GB2312" w:eastAsia="仿宋_GB2312" w:cs="仿宋_GB2312"/>
          <w:color w:val="auto"/>
          <w:position w:val="0"/>
          <w:sz w:val="32"/>
          <w:szCs w:val="32"/>
          <w:highlight w:val="none"/>
          <w:u w:val="none"/>
          <w:lang w:val="en-US" w:eastAsia="zh-CN"/>
        </w:rPr>
        <w:t>6、相关</w:t>
      </w:r>
      <w:r>
        <w:rPr>
          <w:rFonts w:hint="eastAsia" w:ascii="仿宋_GB2312" w:hAnsi="仿宋_GB2312" w:eastAsia="仿宋_GB2312" w:cs="仿宋_GB2312"/>
          <w:color w:val="auto"/>
          <w:position w:val="0"/>
          <w:sz w:val="32"/>
          <w:szCs w:val="32"/>
          <w:highlight w:val="none"/>
          <w:lang w:eastAsia="zh-CN"/>
        </w:rPr>
        <w:t>街道及农村集体经济组织</w:t>
      </w:r>
      <w:r>
        <w:rPr>
          <w:rFonts w:hint="eastAsia" w:ascii="仿宋_GB2312" w:hAnsi="仿宋_GB2312" w:eastAsia="仿宋_GB2312" w:cs="仿宋_GB2312"/>
          <w:color w:val="auto"/>
          <w:position w:val="0"/>
          <w:sz w:val="32"/>
          <w:szCs w:val="32"/>
          <w:highlight w:val="none"/>
        </w:rPr>
        <w:t>负责</w:t>
      </w:r>
      <w:r>
        <w:rPr>
          <w:rFonts w:hint="eastAsia" w:ascii="仿宋_GB2312" w:hAnsi="仿宋_GB2312" w:eastAsia="仿宋_GB2312" w:cs="仿宋_GB2312"/>
          <w:color w:val="auto"/>
          <w:position w:val="0"/>
          <w:sz w:val="32"/>
          <w:szCs w:val="32"/>
          <w:highlight w:val="none"/>
          <w:lang w:eastAsia="zh-CN"/>
        </w:rPr>
        <w:t>做好</w:t>
      </w:r>
      <w:r>
        <w:rPr>
          <w:rFonts w:hint="eastAsia" w:ascii="仿宋_GB2312" w:hAnsi="仿宋_GB2312" w:eastAsia="仿宋_GB2312" w:cs="仿宋_GB2312"/>
          <w:color w:val="auto"/>
          <w:position w:val="0"/>
          <w:sz w:val="32"/>
          <w:szCs w:val="32"/>
          <w:highlight w:val="none"/>
        </w:rPr>
        <w:t>对</w:t>
      </w:r>
      <w:r>
        <w:rPr>
          <w:rFonts w:hint="eastAsia" w:ascii="仿宋_GB2312" w:hAnsi="仿宋_GB2312" w:eastAsia="仿宋_GB2312" w:cs="仿宋_GB2312"/>
          <w:color w:val="auto"/>
          <w:position w:val="0"/>
          <w:sz w:val="32"/>
          <w:szCs w:val="32"/>
          <w:highlight w:val="none"/>
          <w:lang w:eastAsia="zh-CN"/>
        </w:rPr>
        <w:t>本</w:t>
      </w:r>
      <w:r>
        <w:rPr>
          <w:rFonts w:hint="eastAsia" w:ascii="仿宋_GB2312" w:hAnsi="仿宋_GB2312" w:eastAsia="仿宋_GB2312" w:cs="仿宋_GB2312"/>
          <w:color w:val="auto"/>
          <w:position w:val="0"/>
          <w:sz w:val="32"/>
          <w:szCs w:val="32"/>
          <w:highlight w:val="none"/>
        </w:rPr>
        <w:t>辖区</w:t>
      </w:r>
      <w:r>
        <w:rPr>
          <w:rFonts w:hint="eastAsia" w:ascii="仿宋_GB2312" w:hAnsi="仿宋_GB2312" w:eastAsia="仿宋_GB2312" w:cs="仿宋_GB2312"/>
          <w:color w:val="auto"/>
          <w:position w:val="0"/>
          <w:sz w:val="32"/>
          <w:szCs w:val="32"/>
          <w:highlight w:val="none"/>
          <w:lang w:eastAsia="zh-CN"/>
        </w:rPr>
        <w:t>内缴费补贴对象的信息采集、审核与申报，严格落实公示公开制度。</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firstLine="640" w:firstLineChars="200"/>
        <w:jc w:val="both"/>
        <w:textAlignment w:val="auto"/>
        <w:outlineLvl w:val="9"/>
        <w:rPr>
          <w:rFonts w:hint="eastAsia" w:ascii="黑体" w:hAnsi="黑体" w:eastAsia="黑体" w:cs="黑体"/>
          <w:b w:val="0"/>
          <w:color w:val="auto"/>
          <w:position w:val="0"/>
          <w:sz w:val="32"/>
          <w:szCs w:val="32"/>
          <w:highlight w:val="none"/>
        </w:rPr>
      </w:pPr>
      <w:r>
        <w:rPr>
          <w:rFonts w:hint="eastAsia" w:ascii="黑体" w:hAnsi="黑体" w:eastAsia="黑体" w:cs="黑体"/>
          <w:b w:val="0"/>
          <w:color w:val="auto"/>
          <w:position w:val="0"/>
          <w:sz w:val="32"/>
          <w:szCs w:val="32"/>
          <w:highlight w:val="none"/>
          <w:lang w:eastAsia="zh-CN"/>
        </w:rPr>
        <w:t>八</w:t>
      </w:r>
      <w:r>
        <w:rPr>
          <w:rFonts w:hint="eastAsia" w:ascii="黑体" w:hAnsi="黑体" w:eastAsia="黑体" w:cs="黑体"/>
          <w:b w:val="0"/>
          <w:color w:val="auto"/>
          <w:position w:val="0"/>
          <w:sz w:val="32"/>
          <w:szCs w:val="32"/>
          <w:highlight w:val="none"/>
        </w:rPr>
        <w:t>、</w:t>
      </w:r>
      <w:r>
        <w:rPr>
          <w:rFonts w:hint="eastAsia" w:ascii="黑体" w:hAnsi="黑体" w:eastAsia="黑体" w:cs="黑体"/>
          <w:b w:val="0"/>
          <w:color w:val="auto"/>
          <w:position w:val="0"/>
          <w:sz w:val="32"/>
          <w:szCs w:val="32"/>
          <w:highlight w:val="none"/>
          <w:lang w:eastAsia="zh-CN"/>
        </w:rPr>
        <w:t>其他</w:t>
      </w:r>
      <w:bookmarkStart w:id="0" w:name="_GoBack"/>
      <w:bookmarkEnd w:id="0"/>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jc w:val="both"/>
        <w:textAlignment w:val="auto"/>
        <w:outlineLvl w:val="9"/>
        <w:rPr>
          <w:rFonts w:hint="eastAsia" w:ascii="仿宋_GB2312" w:hAnsi="仿宋_GB2312" w:eastAsia="仿宋_GB2312" w:cs="仿宋_GB2312"/>
          <w:color w:val="auto"/>
          <w:position w:val="0"/>
          <w:sz w:val="32"/>
          <w:szCs w:val="32"/>
          <w:highlight w:val="none"/>
        </w:rPr>
      </w:pPr>
      <w:r>
        <w:rPr>
          <w:rFonts w:hint="eastAsia" w:ascii="仿宋_GB2312" w:hAnsi="仿宋_GB2312" w:eastAsia="仿宋_GB2312" w:cs="仿宋_GB2312"/>
          <w:color w:val="auto"/>
          <w:position w:val="0"/>
          <w:sz w:val="32"/>
          <w:szCs w:val="32"/>
          <w:highlight w:val="none"/>
          <w:lang w:val="en-US" w:eastAsia="zh-CN"/>
        </w:rPr>
        <w:t xml:space="preserve">    （</w:t>
      </w:r>
      <w:r>
        <w:rPr>
          <w:rFonts w:hint="eastAsia" w:ascii="仿宋_GB2312" w:hAnsi="仿宋_GB2312" w:eastAsia="仿宋_GB2312" w:cs="仿宋_GB2312"/>
          <w:color w:val="auto"/>
          <w:position w:val="0"/>
          <w:sz w:val="32"/>
          <w:szCs w:val="32"/>
          <w:highlight w:val="none"/>
          <w:lang w:eastAsia="zh-CN"/>
        </w:rPr>
        <w:t>一</w:t>
      </w:r>
      <w:r>
        <w:rPr>
          <w:rFonts w:hint="eastAsia" w:ascii="仿宋_GB2312" w:hAnsi="仿宋_GB2312" w:eastAsia="仿宋_GB2312" w:cs="仿宋_GB2312"/>
          <w:color w:val="auto"/>
          <w:position w:val="0"/>
          <w:sz w:val="32"/>
          <w:szCs w:val="32"/>
          <w:highlight w:val="none"/>
          <w:lang w:val="en-US" w:eastAsia="zh-CN"/>
        </w:rPr>
        <w:t>）</w:t>
      </w:r>
      <w:r>
        <w:rPr>
          <w:rFonts w:hint="eastAsia" w:ascii="仿宋_GB2312" w:hAnsi="仿宋_GB2312" w:eastAsia="仿宋_GB2312" w:cs="仿宋_GB2312"/>
          <w:color w:val="auto"/>
          <w:position w:val="0"/>
          <w:sz w:val="32"/>
          <w:szCs w:val="32"/>
          <w:highlight w:val="none"/>
        </w:rPr>
        <w:t>本《</w:t>
      </w:r>
      <w:r>
        <w:rPr>
          <w:rFonts w:hint="eastAsia" w:ascii="仿宋_GB2312" w:hAnsi="仿宋_GB2312" w:eastAsia="仿宋_GB2312" w:cs="仿宋_GB2312"/>
          <w:color w:val="auto"/>
          <w:position w:val="0"/>
          <w:sz w:val="32"/>
          <w:szCs w:val="32"/>
          <w:highlight w:val="none"/>
          <w:lang w:eastAsia="zh-CN"/>
        </w:rPr>
        <w:t>方案</w:t>
      </w:r>
      <w:r>
        <w:rPr>
          <w:rFonts w:hint="eastAsia" w:ascii="仿宋_GB2312" w:hAnsi="仿宋_GB2312" w:eastAsia="仿宋_GB2312" w:cs="仿宋_GB2312"/>
          <w:color w:val="auto"/>
          <w:position w:val="0"/>
          <w:sz w:val="32"/>
          <w:szCs w:val="32"/>
          <w:highlight w:val="none"/>
        </w:rPr>
        <w:t>》</w:t>
      </w:r>
      <w:r>
        <w:rPr>
          <w:rFonts w:hint="eastAsia" w:ascii="仿宋_GB2312" w:hAnsi="仿宋_GB2312" w:eastAsia="仿宋_GB2312" w:cs="仿宋_GB2312"/>
          <w:color w:val="auto"/>
          <w:position w:val="0"/>
          <w:sz w:val="32"/>
          <w:szCs w:val="32"/>
          <w:highlight w:val="none"/>
          <w:lang w:eastAsia="zh-CN"/>
        </w:rPr>
        <w:t>自印发之日起实施。</w:t>
      </w:r>
      <w:r>
        <w:rPr>
          <w:rFonts w:hint="eastAsia" w:ascii="仿宋" w:hAnsi="仿宋" w:eastAsia="仿宋" w:cs="仿宋"/>
          <w:b w:val="0"/>
          <w:strike w:val="0"/>
          <w:dstrike w:val="0"/>
          <w:color w:val="000000" w:themeColor="text1"/>
          <w:position w:val="0"/>
          <w:sz w:val="32"/>
          <w:szCs w:val="32"/>
          <w:highlight w:val="none"/>
          <w:u w:val="none"/>
          <w:lang w:val="en-US" w:eastAsia="zh-CN"/>
          <w14:textFill>
            <w14:solidFill>
              <w14:schemeClr w14:val="tx1"/>
            </w14:solidFill>
          </w14:textFill>
        </w:rPr>
        <w:t>2020年8月17日印发的《石家庄市新华区被征地农民基本养老保险参保补贴实施方案（试行）》（新政办〔2020〕18号）同时废止。</w:t>
      </w:r>
      <w:r>
        <w:rPr>
          <w:rFonts w:hint="eastAsia" w:ascii="仿宋_GB2312" w:hAnsi="仿宋_GB2312" w:eastAsia="仿宋_GB2312" w:cs="仿宋_GB2312"/>
          <w:color w:val="auto"/>
          <w:position w:val="0"/>
          <w:sz w:val="32"/>
          <w:szCs w:val="32"/>
          <w:highlight w:val="none"/>
        </w:rPr>
        <w:t>如遇国家、省、市出台有关</w:t>
      </w:r>
      <w:r>
        <w:rPr>
          <w:rFonts w:hint="eastAsia" w:ascii="仿宋_GB2312" w:hAnsi="仿宋_GB2312" w:eastAsia="仿宋_GB2312" w:cs="仿宋_GB2312"/>
          <w:strike w:val="0"/>
          <w:dstrike w:val="0"/>
          <w:color w:val="auto"/>
          <w:position w:val="0"/>
          <w:sz w:val="32"/>
          <w:szCs w:val="32"/>
          <w:highlight w:val="none"/>
        </w:rPr>
        <w:t>被征地</w:t>
      </w:r>
      <w:r>
        <w:rPr>
          <w:rFonts w:hint="eastAsia" w:ascii="仿宋_GB2312" w:hAnsi="仿宋_GB2312" w:eastAsia="仿宋_GB2312" w:cs="仿宋_GB2312"/>
          <w:strike w:val="0"/>
          <w:dstrike w:val="0"/>
          <w:color w:val="auto"/>
          <w:position w:val="0"/>
          <w:sz w:val="32"/>
          <w:szCs w:val="32"/>
          <w:highlight w:val="none"/>
          <w:lang w:eastAsia="zh-CN"/>
        </w:rPr>
        <w:t>农民</w:t>
      </w:r>
      <w:r>
        <w:rPr>
          <w:rFonts w:hint="eastAsia" w:ascii="仿宋_GB2312" w:hAnsi="仿宋_GB2312" w:eastAsia="仿宋_GB2312" w:cs="仿宋_GB2312"/>
          <w:strike w:val="0"/>
          <w:dstrike w:val="0"/>
          <w:color w:val="auto"/>
          <w:position w:val="0"/>
          <w:sz w:val="32"/>
          <w:szCs w:val="32"/>
          <w:highlight w:val="none"/>
        </w:rPr>
        <w:t>养老保险</w:t>
      </w:r>
      <w:r>
        <w:rPr>
          <w:rFonts w:hint="eastAsia" w:ascii="仿宋_GB2312" w:hAnsi="仿宋_GB2312" w:eastAsia="仿宋_GB2312" w:cs="仿宋_GB2312"/>
          <w:color w:val="auto"/>
          <w:position w:val="0"/>
          <w:sz w:val="32"/>
          <w:szCs w:val="32"/>
          <w:highlight w:val="none"/>
        </w:rPr>
        <w:t>政策，按上级政策执行。</w:t>
      </w:r>
    </w:p>
    <w:p>
      <w:pPr>
        <w:keepNext w:val="0"/>
        <w:keepLines w:val="0"/>
        <w:pageBreakBefore w:val="0"/>
        <w:widowControl/>
        <w:numPr>
          <w:ilvl w:val="0"/>
          <w:numId w:val="0"/>
        </w:numPr>
        <w:kinsoku/>
        <w:overflowPunct/>
        <w:topLinePunct w:val="0"/>
        <w:autoSpaceDE/>
        <w:autoSpaceDN/>
        <w:bidi w:val="0"/>
        <w:adjustRightInd/>
        <w:snapToGrid/>
        <w:spacing w:before="0" w:line="560" w:lineRule="exact"/>
        <w:ind w:right="0" w:rightChars="0"/>
        <w:jc w:val="both"/>
        <w:textAlignment w:val="auto"/>
        <w:outlineLvl w:val="9"/>
        <w:rPr>
          <w:rFonts w:hint="eastAsia" w:ascii="黑体" w:hAnsi="黑体" w:eastAsia="黑体" w:cs="黑体"/>
          <w:b w:val="0"/>
          <w:bCs w:val="0"/>
          <w:sz w:val="44"/>
          <w:szCs w:val="44"/>
          <w:highlight w:val="none"/>
          <w:lang w:val="en-US" w:eastAsia="zh-CN"/>
        </w:rPr>
      </w:pPr>
      <w:r>
        <w:rPr>
          <w:rFonts w:hint="eastAsia" w:ascii="仿宋_GB2312" w:hAnsi="仿宋_GB2312" w:eastAsia="仿宋_GB2312" w:cs="仿宋_GB2312"/>
          <w:color w:val="auto"/>
          <w:position w:val="0"/>
          <w:sz w:val="32"/>
          <w:szCs w:val="32"/>
          <w:highlight w:val="none"/>
          <w:lang w:val="en-US" w:eastAsia="zh-CN"/>
        </w:rPr>
        <w:t xml:space="preserve">    （二）本《方案》由区被征地农民基本养老保险缴费补贴工作领导小组负责解释。</w:t>
      </w:r>
      <w:r>
        <w:rPr>
          <w:rFonts w:hint="eastAsia" w:ascii="仿宋_GB2312" w:hAnsi="仿宋_GB2312" w:eastAsia="仿宋_GB2312" w:cs="仿宋_GB2312"/>
          <w:color w:val="auto"/>
          <w:position w:val="0"/>
          <w:sz w:val="32"/>
          <w:szCs w:val="32"/>
          <w:highlight w:val="none"/>
          <w:lang w:eastAsia="zh-CN"/>
        </w:rPr>
        <w:t>未尽事宜由领导小组研究决定</w:t>
      </w:r>
      <w:r>
        <w:rPr>
          <w:rFonts w:hint="eastAsia" w:ascii="仿宋_GB2312" w:hAnsi="仿宋_GB2312" w:eastAsia="仿宋_GB2312" w:cs="仿宋_GB2312"/>
          <w:color w:val="auto"/>
          <w:position w:val="0"/>
          <w:sz w:val="32"/>
          <w:szCs w:val="32"/>
          <w:highlight w:val="none"/>
        </w:rPr>
        <w:t>。</w:t>
      </w:r>
    </w:p>
    <w:sectPr>
      <w:headerReference r:id="rId3" w:type="default"/>
      <w:footerReference r:id="rId4" w:type="default"/>
      <w:pgSz w:w="11906" w:h="16838"/>
      <w:pgMar w:top="1440" w:right="1123" w:bottom="110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国标仿宋">
    <w:altName w:val="仿宋"/>
    <w:panose1 w:val="02000500000000000000"/>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swiss"/>
    <w:pitch w:val="default"/>
    <w:sig w:usb0="800002BF" w:usb1="38CF7CFA" w:usb2="00000016" w:usb3="00000000" w:csb0="00040001" w:csb1="00000000"/>
  </w:font>
  <w:font w:name="楷体_GB2312">
    <w:altName w:val="楷体"/>
    <w:panose1 w:val="02010609030101010101"/>
    <w:charset w:val="86"/>
    <w:family w:val="roman"/>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_GB2312">
    <w:altName w:val="楷体"/>
    <w:panose1 w:val="02010609030101010101"/>
    <w:charset w:val="86"/>
    <w:family w:val="swiss"/>
    <w:pitch w:val="default"/>
    <w:sig w:usb0="00000000" w:usb1="00000000" w:usb2="0000001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8"/>
      <w:numPr>
        <w:ilvl w:val="0"/>
        <w:numId w:val="0"/>
      </w:numPr>
      <w:autoSpaceDE/>
      <w:autoSpaceDN/>
      <w:snapToGrid w:val="0"/>
      <w:spacing w:before="0" w:after="160" w:line="240" w:lineRule="auto"/>
      <w:ind w:right="0" w:firstLine="0"/>
      <w:jc w:val="left"/>
      <w:rPr>
        <w:rFonts w:hint="default" w:ascii="Calibri" w:hAnsi="宋体" w:eastAsia="宋体"/>
        <w:color w:val="auto"/>
        <w:position w:val="0"/>
        <w:sz w:val="18"/>
        <w:szCs w:val="18"/>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7785" cy="240665"/>
              <wp:effectExtent l="0" t="0" r="0" b="0"/>
              <wp:wrapNone/>
              <wp:docPr id="4" name="文本框 1"/>
              <wp:cNvGraphicFramePr/>
              <a:graphic xmlns:a="http://schemas.openxmlformats.org/drawingml/2006/main">
                <a:graphicData uri="http://schemas.microsoft.com/office/word/2010/wordprocessingShape">
                  <wps:wsp>
                    <wps:cNvSpPr txBox="1"/>
                    <wps:spPr>
                      <a:xfrm>
                        <a:off x="0" y="0"/>
                        <a:ext cx="58420" cy="241300"/>
                      </a:xfrm>
                      <a:prstGeom prst="rect">
                        <a:avLst/>
                      </a:prstGeom>
                      <a:noFill/>
                      <a:ln w="6350" cap="flat">
                        <a:noFill/>
                      </a:ln>
                    </wps:spPr>
                    <wps:style>
                      <a:lnRef idx="0">
                        <a:schemeClr val="accent1"/>
                      </a:lnRef>
                      <a:fillRef idx="0">
                        <a:schemeClr val="accent1"/>
                      </a:fillRef>
                      <a:effectRef idx="0">
                        <a:schemeClr val="accent1"/>
                      </a:effectRef>
                      <a:fontRef idx="minor">
                        <a:schemeClr val="dk1"/>
                      </a:fontRef>
                    </wps:style>
                    <wps:txbx>
                      <w:txbxContent>
                        <w:p>
                          <w:pPr>
                            <w:pStyle w:val="18"/>
                            <w:numPr>
                              <w:ilvl w:val="0"/>
                              <w:numId w:val="0"/>
                            </w:numPr>
                            <w:autoSpaceDE/>
                            <w:autoSpaceDN/>
                            <w:snapToGrid w:val="0"/>
                            <w:spacing w:before="0" w:after="160" w:line="240" w:lineRule="auto"/>
                            <w:ind w:right="0" w:firstLine="0"/>
                            <w:jc w:val="left"/>
                            <w:rPr>
                              <w:rFonts w:hint="default" w:ascii="Calibri" w:hAnsi="宋体" w:eastAsia="宋体"/>
                              <w:color w:val="auto"/>
                              <w:position w:val="0"/>
                              <w:sz w:val="18"/>
                              <w:szCs w:val="18"/>
                            </w:rPr>
                          </w:pPr>
                          <w:r>
                            <w:rPr>
                              <w:rFonts w:hint="default" w:ascii="Calibri" w:hAnsi="宋体" w:eastAsia="宋体"/>
                              <w:color w:val="auto"/>
                              <w:position w:val="0"/>
                              <w:sz w:val="18"/>
                              <w:szCs w:val="18"/>
                            </w:rPr>
                            <w:fldChar w:fldCharType="begin"/>
                          </w:r>
                          <w:r>
                            <w:instrText xml:space="preserve">PAGE  \* MERGEFORMAT</w:instrText>
                          </w:r>
                          <w:r>
                            <w:fldChar w:fldCharType="separate"/>
                          </w:r>
                          <w:r>
                            <w:rPr>
                              <w:rFonts w:hint="default" w:ascii="Calibri" w:hAnsi="宋体" w:eastAsia="宋体"/>
                              <w:color w:val="auto"/>
                              <w:position w:val="0"/>
                              <w:sz w:val="18"/>
                              <w:szCs w:val="18"/>
                            </w:rPr>
                            <w:t>2</w:t>
                          </w:r>
                          <w:r>
                            <w:rPr>
                              <w:rFonts w:hint="default" w:ascii="Calibri" w:hAnsi="宋体" w:eastAsia="宋体"/>
                              <w:color w:val="auto"/>
                              <w:positio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0">
                      <a:spAutoFit/>
                    </wps:bodyPr>
                  </wps:wsp>
                </a:graphicData>
              </a:graphic>
            </wp:anchor>
          </w:drawing>
        </mc:Choice>
        <mc:Fallback>
          <w:pict>
            <v:shape id="文本框 1" o:spid="_x0000_s1026" o:spt="202" type="#_x0000_t202" style="position:absolute;left:0pt;margin-top:0pt;height:18.95pt;width:4.55pt;mso-position-horizontal:outside;mso-position-horizontal-relative:margin;mso-wrap-style:none;z-index:251659264;mso-width-relative:page;mso-height-relative:page;" filled="f" stroked="f" coordsize="21600,21600" o:gfxdata="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wj+Oy0QAAAAIBAAAPAAAAAAAA&#10;AAEAIAAAACIAAABkcnMvZG93bnJldi54bWxQSwECFAAUAAAACACHTuJAg3dmCxkCAAAPBAAADgAA&#10;AAAAAAABACAAAAAgAQAAZHJzL2Uyb0RvYy54bWxQSwUGAAAAAAYABgBZAQAAqwUAAAAA&#10;">
              <v:fill on="f" focussize="0,0"/>
              <v:stroke on="f" weight="0.5pt"/>
              <v:imagedata o:title=""/>
              <o:lock v:ext="edit" aspectratio="f"/>
              <v:textbox inset="0mm,0mm,0mm,0mm" style="mso-fit-shape-to-text:t;">
                <w:txbxContent>
                  <w:p>
                    <w:pPr>
                      <w:pStyle w:val="18"/>
                      <w:numPr>
                        <w:ilvl w:val="0"/>
                        <w:numId w:val="0"/>
                      </w:numPr>
                      <w:autoSpaceDE/>
                      <w:autoSpaceDN/>
                      <w:snapToGrid w:val="0"/>
                      <w:spacing w:before="0" w:after="160" w:line="240" w:lineRule="auto"/>
                      <w:ind w:right="0" w:firstLine="0"/>
                      <w:jc w:val="left"/>
                      <w:rPr>
                        <w:rFonts w:hint="default" w:ascii="Calibri" w:hAnsi="宋体" w:eastAsia="宋体"/>
                        <w:color w:val="auto"/>
                        <w:position w:val="0"/>
                        <w:sz w:val="18"/>
                        <w:szCs w:val="18"/>
                      </w:rPr>
                    </w:pPr>
                    <w:r>
                      <w:rPr>
                        <w:rFonts w:hint="default" w:ascii="Calibri" w:hAnsi="宋体" w:eastAsia="宋体"/>
                        <w:color w:val="auto"/>
                        <w:position w:val="0"/>
                        <w:sz w:val="18"/>
                        <w:szCs w:val="18"/>
                      </w:rPr>
                      <w:fldChar w:fldCharType="begin"/>
                    </w:r>
                    <w:r>
                      <w:instrText xml:space="preserve">PAGE  \* MERGEFORMAT</w:instrText>
                    </w:r>
                    <w:r>
                      <w:fldChar w:fldCharType="separate"/>
                    </w:r>
                    <w:r>
                      <w:rPr>
                        <w:rFonts w:hint="default" w:ascii="Calibri" w:hAnsi="宋体" w:eastAsia="宋体"/>
                        <w:color w:val="auto"/>
                        <w:position w:val="0"/>
                        <w:sz w:val="18"/>
                        <w:szCs w:val="18"/>
                      </w:rPr>
                      <w:t>2</w:t>
                    </w:r>
                    <w:r>
                      <w:rPr>
                        <w:rFonts w:hint="default" w:ascii="Calibri" w:hAnsi="宋体" w:eastAsia="宋体"/>
                        <w:color w:val="auto"/>
                        <w:position w:val="0"/>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9"/>
      <w:numPr>
        <w:ilvl w:val="0"/>
        <w:numId w:val="0"/>
      </w:numPr>
      <w:pBdr>
        <w:top w:val="none" w:color="000000" w:sz="0" w:space="0"/>
        <w:left w:val="none" w:color="000000" w:sz="0" w:space="0"/>
        <w:bottom w:val="none" w:color="000000" w:sz="0" w:space="0"/>
        <w:right w:val="none" w:color="000000" w:sz="0" w:space="0"/>
      </w:pBdr>
      <w:autoSpaceDE/>
      <w:autoSpaceDN/>
      <w:snapToGrid w:val="0"/>
      <w:spacing w:before="0" w:after="160" w:line="240" w:lineRule="auto"/>
      <w:ind w:right="0" w:firstLine="0"/>
      <w:jc w:val="both"/>
      <w:rPr>
        <w:rFonts w:hint="default" w:ascii="Calibri" w:hAnsi="宋体" w:eastAsia="宋体"/>
        <w:color w:val="auto"/>
        <w:position w:val="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295781786">
    <w:nsid w:val="C471A39A"/>
    <w:multiLevelType w:val="singleLevel"/>
    <w:tmpl w:val="C471A39A"/>
    <w:lvl w:ilvl="0" w:tentative="1">
      <w:start w:val="2"/>
      <w:numFmt w:val="chineseCounting"/>
      <w:suff w:val="nothing"/>
      <w:lvlText w:val="%1、"/>
      <w:lvlJc w:val="left"/>
      <w:rPr>
        <w:rFonts w:hint="eastAsia"/>
      </w:rPr>
    </w:lvl>
  </w:abstractNum>
  <w:abstractNum w:abstractNumId="2593610433">
    <w:nsid w:val="9A975AC1"/>
    <w:multiLevelType w:val="singleLevel"/>
    <w:tmpl w:val="9A975AC1"/>
    <w:lvl w:ilvl="0" w:tentative="1">
      <w:start w:val="1"/>
      <w:numFmt w:val="chineseCounting"/>
      <w:suff w:val="nothing"/>
      <w:lvlText w:val="%1、"/>
      <w:lvlJc w:val="left"/>
      <w:rPr>
        <w:rFonts w:hint="eastAsia"/>
      </w:rPr>
    </w:lvl>
  </w:abstractNum>
  <w:num w:numId="1">
    <w:abstractNumId w:val="2593610433"/>
  </w:num>
  <w:num w:numId="2">
    <w:abstractNumId w:val="32957817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isplayHorizontalDrawingGridEvery w:val="0"/>
  <w:displayVerticalDrawingGridEvery w:val="2"/>
  <w:characterSpacingControl w:val="compressPunctuation"/>
  <w:hdrShapeDefaults>
    <o:shapelayout v:ext="edit">
      <o:idmap v:ext="edit" data="1"/>
    </o:shapelayout>
  </w:hdrShapeDefaults>
  <w:compat>
    <w:balanceSingleByteDoubleByteWidth/>
    <w:ulTrailSpace/>
    <w:adjustLineHeightInTable/>
    <w:useFELayout/>
    <w:compatSetting w:name="compatibilityMode" w:uri="http://schemas.microsoft.com/office/word" w:val="14"/>
  </w:compat>
  <w:rsids>
    <w:rsidRoot w:val="00000000"/>
    <w:rsid w:val="02021676"/>
    <w:rsid w:val="023F77D5"/>
    <w:rsid w:val="027076DF"/>
    <w:rsid w:val="030016C1"/>
    <w:rsid w:val="04AB06AD"/>
    <w:rsid w:val="06316682"/>
    <w:rsid w:val="06E91F3A"/>
    <w:rsid w:val="07433537"/>
    <w:rsid w:val="075A7373"/>
    <w:rsid w:val="076B483E"/>
    <w:rsid w:val="0803143A"/>
    <w:rsid w:val="080B2E03"/>
    <w:rsid w:val="08564660"/>
    <w:rsid w:val="0868150E"/>
    <w:rsid w:val="089A20F5"/>
    <w:rsid w:val="08DC6EE8"/>
    <w:rsid w:val="0973528B"/>
    <w:rsid w:val="098C62CA"/>
    <w:rsid w:val="0A7549AE"/>
    <w:rsid w:val="0AA737AC"/>
    <w:rsid w:val="0AB5385D"/>
    <w:rsid w:val="0B345E94"/>
    <w:rsid w:val="0C2C3AC7"/>
    <w:rsid w:val="0CA90E6C"/>
    <w:rsid w:val="0DB7496D"/>
    <w:rsid w:val="0E245770"/>
    <w:rsid w:val="0E394001"/>
    <w:rsid w:val="0EAD1793"/>
    <w:rsid w:val="0EE20DB2"/>
    <w:rsid w:val="0F092B28"/>
    <w:rsid w:val="0F3C427A"/>
    <w:rsid w:val="101A7892"/>
    <w:rsid w:val="105126B9"/>
    <w:rsid w:val="11386E0B"/>
    <w:rsid w:val="113A1755"/>
    <w:rsid w:val="123862A0"/>
    <w:rsid w:val="126020B2"/>
    <w:rsid w:val="131535D2"/>
    <w:rsid w:val="13725EF6"/>
    <w:rsid w:val="13AA0040"/>
    <w:rsid w:val="13D6257B"/>
    <w:rsid w:val="13DD332C"/>
    <w:rsid w:val="13EFCB02"/>
    <w:rsid w:val="146B4D53"/>
    <w:rsid w:val="158D15F9"/>
    <w:rsid w:val="16526051"/>
    <w:rsid w:val="166E21F8"/>
    <w:rsid w:val="16B55142"/>
    <w:rsid w:val="17154DBE"/>
    <w:rsid w:val="186969CA"/>
    <w:rsid w:val="18886C16"/>
    <w:rsid w:val="191430F8"/>
    <w:rsid w:val="19A46A5C"/>
    <w:rsid w:val="19BC01EC"/>
    <w:rsid w:val="19F83195"/>
    <w:rsid w:val="1AD62FBC"/>
    <w:rsid w:val="1B7C101C"/>
    <w:rsid w:val="1BB62554"/>
    <w:rsid w:val="1C85685F"/>
    <w:rsid w:val="1C9C0310"/>
    <w:rsid w:val="1CDA4E81"/>
    <w:rsid w:val="1CDFBA97"/>
    <w:rsid w:val="1CE31D92"/>
    <w:rsid w:val="1D2B3AA0"/>
    <w:rsid w:val="1D6358E5"/>
    <w:rsid w:val="1D662A26"/>
    <w:rsid w:val="1E83119C"/>
    <w:rsid w:val="1FA15F09"/>
    <w:rsid w:val="1FC250EF"/>
    <w:rsid w:val="1FFEC244"/>
    <w:rsid w:val="20835291"/>
    <w:rsid w:val="20F20EC8"/>
    <w:rsid w:val="2103553E"/>
    <w:rsid w:val="21436B6C"/>
    <w:rsid w:val="21890464"/>
    <w:rsid w:val="221413F8"/>
    <w:rsid w:val="237C40C3"/>
    <w:rsid w:val="244F25FB"/>
    <w:rsid w:val="24660041"/>
    <w:rsid w:val="247023BF"/>
    <w:rsid w:val="251B1C62"/>
    <w:rsid w:val="253F0DB5"/>
    <w:rsid w:val="254D779D"/>
    <w:rsid w:val="25656942"/>
    <w:rsid w:val="27207EA0"/>
    <w:rsid w:val="291500AA"/>
    <w:rsid w:val="2972480D"/>
    <w:rsid w:val="298958B9"/>
    <w:rsid w:val="29F84AE8"/>
    <w:rsid w:val="2A235F03"/>
    <w:rsid w:val="2ADF5F82"/>
    <w:rsid w:val="2B0A030E"/>
    <w:rsid w:val="2B395D30"/>
    <w:rsid w:val="2C4A236D"/>
    <w:rsid w:val="2C765B7A"/>
    <w:rsid w:val="2D03509C"/>
    <w:rsid w:val="2D0C3DA2"/>
    <w:rsid w:val="2D9D26BC"/>
    <w:rsid w:val="2DF22433"/>
    <w:rsid w:val="2ECE0E81"/>
    <w:rsid w:val="2EDD81AA"/>
    <w:rsid w:val="2F866474"/>
    <w:rsid w:val="2F963EC9"/>
    <w:rsid w:val="2F9F70E3"/>
    <w:rsid w:val="2FFE6BE2"/>
    <w:rsid w:val="30476F00"/>
    <w:rsid w:val="32C60183"/>
    <w:rsid w:val="334F1106"/>
    <w:rsid w:val="33563F93"/>
    <w:rsid w:val="340744D5"/>
    <w:rsid w:val="350C2516"/>
    <w:rsid w:val="351F2F2F"/>
    <w:rsid w:val="37BE54F8"/>
    <w:rsid w:val="37E7501F"/>
    <w:rsid w:val="382D152F"/>
    <w:rsid w:val="390916D9"/>
    <w:rsid w:val="393C682C"/>
    <w:rsid w:val="39E12BB9"/>
    <w:rsid w:val="39FC0556"/>
    <w:rsid w:val="3A35586A"/>
    <w:rsid w:val="3ABB3988"/>
    <w:rsid w:val="3BE236CA"/>
    <w:rsid w:val="3C7C6D14"/>
    <w:rsid w:val="3CBA5C03"/>
    <w:rsid w:val="3D79237B"/>
    <w:rsid w:val="3E2263C6"/>
    <w:rsid w:val="3E3A67E2"/>
    <w:rsid w:val="3E9F3598"/>
    <w:rsid w:val="3EC4461D"/>
    <w:rsid w:val="3ECB334D"/>
    <w:rsid w:val="3F083A87"/>
    <w:rsid w:val="3F562F42"/>
    <w:rsid w:val="3FEF3A7B"/>
    <w:rsid w:val="40CE1FBF"/>
    <w:rsid w:val="41134E70"/>
    <w:rsid w:val="41A875DF"/>
    <w:rsid w:val="420561CA"/>
    <w:rsid w:val="420E41F4"/>
    <w:rsid w:val="4361295B"/>
    <w:rsid w:val="47697E00"/>
    <w:rsid w:val="48864F0F"/>
    <w:rsid w:val="490D777D"/>
    <w:rsid w:val="493040DD"/>
    <w:rsid w:val="494B0640"/>
    <w:rsid w:val="497F5129"/>
    <w:rsid w:val="4A0D026C"/>
    <w:rsid w:val="4A8208EA"/>
    <w:rsid w:val="4A88515C"/>
    <w:rsid w:val="4B170AE8"/>
    <w:rsid w:val="4CB41B80"/>
    <w:rsid w:val="4D20432C"/>
    <w:rsid w:val="4D367CB4"/>
    <w:rsid w:val="4D912DA1"/>
    <w:rsid w:val="4D9C45DD"/>
    <w:rsid w:val="4DBD14DC"/>
    <w:rsid w:val="4E7C301F"/>
    <w:rsid w:val="50014618"/>
    <w:rsid w:val="50E95377"/>
    <w:rsid w:val="52F0002A"/>
    <w:rsid w:val="539853D4"/>
    <w:rsid w:val="549354BF"/>
    <w:rsid w:val="556D12A9"/>
    <w:rsid w:val="55F11493"/>
    <w:rsid w:val="572B7CAB"/>
    <w:rsid w:val="57B406F2"/>
    <w:rsid w:val="57DB167D"/>
    <w:rsid w:val="58E47155"/>
    <w:rsid w:val="59187B39"/>
    <w:rsid w:val="596C4EE7"/>
    <w:rsid w:val="59BF26F0"/>
    <w:rsid w:val="5A745063"/>
    <w:rsid w:val="5A8845D2"/>
    <w:rsid w:val="5AC0447A"/>
    <w:rsid w:val="5AD77016"/>
    <w:rsid w:val="5B740E09"/>
    <w:rsid w:val="5C7C36DD"/>
    <w:rsid w:val="5D18517E"/>
    <w:rsid w:val="5D501124"/>
    <w:rsid w:val="5D7E3256"/>
    <w:rsid w:val="5D8A15F8"/>
    <w:rsid w:val="5DCC1E5E"/>
    <w:rsid w:val="5DFB64C1"/>
    <w:rsid w:val="5E10168F"/>
    <w:rsid w:val="5EA251BF"/>
    <w:rsid w:val="5F802CBB"/>
    <w:rsid w:val="5FAD3D9B"/>
    <w:rsid w:val="5FAF1F02"/>
    <w:rsid w:val="60143B90"/>
    <w:rsid w:val="60924B81"/>
    <w:rsid w:val="60AD5CAC"/>
    <w:rsid w:val="612A3B63"/>
    <w:rsid w:val="612B6374"/>
    <w:rsid w:val="61BF4DD0"/>
    <w:rsid w:val="61E65D4D"/>
    <w:rsid w:val="61F847E1"/>
    <w:rsid w:val="62635F5F"/>
    <w:rsid w:val="62A65EF2"/>
    <w:rsid w:val="630268EA"/>
    <w:rsid w:val="63536F95"/>
    <w:rsid w:val="637D2882"/>
    <w:rsid w:val="63B41CB9"/>
    <w:rsid w:val="643E3D12"/>
    <w:rsid w:val="64A66854"/>
    <w:rsid w:val="65744900"/>
    <w:rsid w:val="66393A87"/>
    <w:rsid w:val="666F28C0"/>
    <w:rsid w:val="67271CA3"/>
    <w:rsid w:val="678D2BBB"/>
    <w:rsid w:val="67A12BFF"/>
    <w:rsid w:val="680476D4"/>
    <w:rsid w:val="694501B4"/>
    <w:rsid w:val="6A0744F3"/>
    <w:rsid w:val="6A07600C"/>
    <w:rsid w:val="6A6B2951"/>
    <w:rsid w:val="6B5240DB"/>
    <w:rsid w:val="6BFC7D0F"/>
    <w:rsid w:val="6C306B14"/>
    <w:rsid w:val="6C68322C"/>
    <w:rsid w:val="6C830AA1"/>
    <w:rsid w:val="6D8C5281"/>
    <w:rsid w:val="6DA15E85"/>
    <w:rsid w:val="6E0D1568"/>
    <w:rsid w:val="6E8643BA"/>
    <w:rsid w:val="6E98F8AE"/>
    <w:rsid w:val="6F164B11"/>
    <w:rsid w:val="6F4A6E8E"/>
    <w:rsid w:val="6F5687A6"/>
    <w:rsid w:val="6FC30F79"/>
    <w:rsid w:val="6FC84DCC"/>
    <w:rsid w:val="705D1E3A"/>
    <w:rsid w:val="70AB1E82"/>
    <w:rsid w:val="71C91D8B"/>
    <w:rsid w:val="73412096"/>
    <w:rsid w:val="7372AA2D"/>
    <w:rsid w:val="73BA611C"/>
    <w:rsid w:val="73C21535"/>
    <w:rsid w:val="74D65D21"/>
    <w:rsid w:val="75043CD9"/>
    <w:rsid w:val="75476C90"/>
    <w:rsid w:val="75554E89"/>
    <w:rsid w:val="75922A2C"/>
    <w:rsid w:val="76BA74D8"/>
    <w:rsid w:val="770E054E"/>
    <w:rsid w:val="77FD3654"/>
    <w:rsid w:val="78452301"/>
    <w:rsid w:val="78743A30"/>
    <w:rsid w:val="79566A28"/>
    <w:rsid w:val="797B8204"/>
    <w:rsid w:val="79978B8A"/>
    <w:rsid w:val="79D25C20"/>
    <w:rsid w:val="79D906D8"/>
    <w:rsid w:val="7AAF21FE"/>
    <w:rsid w:val="7B1002D6"/>
    <w:rsid w:val="7BB446C4"/>
    <w:rsid w:val="7BDDA82B"/>
    <w:rsid w:val="7BDE6E47"/>
    <w:rsid w:val="7BDEA327"/>
    <w:rsid w:val="7BE9FC08"/>
    <w:rsid w:val="7C5D05FE"/>
    <w:rsid w:val="7C7E6177"/>
    <w:rsid w:val="7D757DA2"/>
    <w:rsid w:val="7DFA4A6A"/>
    <w:rsid w:val="7E5D3B1E"/>
    <w:rsid w:val="7E777597"/>
    <w:rsid w:val="7EDBD734"/>
    <w:rsid w:val="7EF3D6F6"/>
    <w:rsid w:val="7EFD4BEB"/>
    <w:rsid w:val="7F2065B6"/>
    <w:rsid w:val="7F39F8EE"/>
    <w:rsid w:val="7F443A27"/>
    <w:rsid w:val="7F6C41FF"/>
    <w:rsid w:val="7F7D09C4"/>
    <w:rsid w:val="7F7E07C3"/>
    <w:rsid w:val="7FB2472B"/>
    <w:rsid w:val="7FCD15BA"/>
    <w:rsid w:val="7FE7530F"/>
    <w:rsid w:val="7FFEF697"/>
    <w:rsid w:val="7FFF14C0"/>
    <w:rsid w:val="8779CEE5"/>
    <w:rsid w:val="87FC689B"/>
    <w:rsid w:val="8FFFFAB0"/>
    <w:rsid w:val="BBBE3A77"/>
    <w:rsid w:val="CEB77E10"/>
    <w:rsid w:val="D6BFE0CF"/>
    <w:rsid w:val="D7F3C288"/>
    <w:rsid w:val="D93F2C7A"/>
    <w:rsid w:val="DE7B6585"/>
    <w:rsid w:val="DEFBAAB6"/>
    <w:rsid w:val="DFAF2B50"/>
    <w:rsid w:val="E96ED82C"/>
    <w:rsid w:val="E9D7FCCB"/>
    <w:rsid w:val="EAFFAE74"/>
    <w:rsid w:val="EBB4D31C"/>
    <w:rsid w:val="EFFFE7BD"/>
    <w:rsid w:val="F3DDDAC6"/>
    <w:rsid w:val="F5FBDD98"/>
    <w:rsid w:val="F5FE7022"/>
    <w:rsid w:val="F6BA91B1"/>
    <w:rsid w:val="F7F62F9A"/>
    <w:rsid w:val="FADD1CDE"/>
    <w:rsid w:val="FD2DDE2C"/>
    <w:rsid w:val="FDBF3B6A"/>
    <w:rsid w:val="FDBF9ED1"/>
    <w:rsid w:val="FE6F86AA"/>
    <w:rsid w:val="FEDECF1C"/>
    <w:rsid w:val="FF6DB44A"/>
    <w:rsid w:val="FFA793DC"/>
    <w:rsid w:val="FFF704D7"/>
    <w:rsid w:val="FFFF62E3"/>
  </w:rsids>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153" w:semiHidden="0" w:name="header"/>
    <w:lsdException w:qFormat="1" w:unhideWhenUsed="0" w:uiPriority="152"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nhideWhenUsed="0" w:uiPriority="2"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7"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8"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wordWrap/>
      <w:autoSpaceDE/>
      <w:autoSpaceDN/>
      <w:jc w:val="both"/>
    </w:pPr>
    <w:rPr>
      <w:rFonts w:ascii="Calibri" w:hAnsi="Calibri" w:eastAsia="宋体" w:cstheme="minorBidi"/>
      <w:w w:val="100"/>
      <w:sz w:val="21"/>
      <w:szCs w:val="21"/>
      <w:shd w:val="clear"/>
    </w:rPr>
  </w:style>
  <w:style w:type="paragraph" w:styleId="3">
    <w:name w:val="heading 1"/>
    <w:next w:val="1"/>
    <w:qFormat/>
    <w:uiPriority w:val="7"/>
    <w:pPr>
      <w:widowControl/>
      <w:wordWrap/>
      <w:autoSpaceDE/>
      <w:autoSpaceDN/>
      <w:jc w:val="both"/>
    </w:pPr>
    <w:rPr>
      <w:rFonts w:ascii="Times New Roman" w:hAnsi="Times New Roman" w:eastAsia="Times New Roman" w:cstheme="minorBidi"/>
      <w:w w:val="100"/>
      <w:sz w:val="28"/>
      <w:szCs w:val="28"/>
      <w:shd w:val="clear"/>
    </w:rPr>
  </w:style>
  <w:style w:type="paragraph" w:styleId="4">
    <w:name w:val="heading 2"/>
    <w:next w:val="1"/>
    <w:qFormat/>
    <w:uiPriority w:val="8"/>
    <w:pPr>
      <w:widowControl/>
      <w:wordWrap/>
      <w:autoSpaceDE/>
      <w:autoSpaceDN/>
      <w:jc w:val="both"/>
    </w:pPr>
    <w:rPr>
      <w:rFonts w:ascii="Times New Roman" w:hAnsi="Times New Roman" w:eastAsia="Times New Roman" w:cstheme="minorBidi"/>
      <w:w w:val="100"/>
      <w:sz w:val="21"/>
      <w:szCs w:val="21"/>
      <w:shd w:val="clear"/>
    </w:rPr>
  </w:style>
  <w:style w:type="paragraph" w:styleId="5">
    <w:name w:val="heading 3"/>
    <w:next w:val="1"/>
    <w:qFormat/>
    <w:uiPriority w:val="9"/>
    <w:pPr>
      <w:widowControl/>
      <w:wordWrap/>
      <w:autoSpaceDE/>
      <w:autoSpaceDN/>
      <w:ind w:left="1000" w:hanging="400"/>
      <w:jc w:val="both"/>
    </w:pPr>
    <w:rPr>
      <w:rFonts w:ascii="Times New Roman" w:hAnsi="Times New Roman" w:eastAsia="Times New Roman" w:cstheme="minorBidi"/>
      <w:w w:val="100"/>
      <w:sz w:val="21"/>
      <w:szCs w:val="21"/>
      <w:shd w:val="clear"/>
    </w:rPr>
  </w:style>
  <w:style w:type="paragraph" w:styleId="6">
    <w:name w:val="heading 4"/>
    <w:next w:val="1"/>
    <w:qFormat/>
    <w:uiPriority w:val="10"/>
    <w:pPr>
      <w:widowControl/>
      <w:wordWrap/>
      <w:autoSpaceDE/>
      <w:autoSpaceDN/>
      <w:ind w:left="1200" w:hanging="400"/>
      <w:jc w:val="both"/>
    </w:pPr>
    <w:rPr>
      <w:rFonts w:ascii="Times New Roman" w:hAnsi="Times New Roman" w:eastAsia="Times New Roman" w:cstheme="minorBidi"/>
      <w:b/>
      <w:w w:val="100"/>
      <w:sz w:val="21"/>
      <w:szCs w:val="21"/>
      <w:shd w:val="clear"/>
    </w:rPr>
  </w:style>
  <w:style w:type="paragraph" w:styleId="7">
    <w:name w:val="heading 5"/>
    <w:next w:val="1"/>
    <w:qFormat/>
    <w:uiPriority w:val="11"/>
    <w:pPr>
      <w:widowControl/>
      <w:wordWrap/>
      <w:autoSpaceDE/>
      <w:autoSpaceDN/>
      <w:ind w:left="1400" w:hanging="400"/>
      <w:jc w:val="both"/>
    </w:pPr>
    <w:rPr>
      <w:rFonts w:ascii="Times New Roman" w:hAnsi="Times New Roman" w:eastAsia="Times New Roman" w:cstheme="minorBidi"/>
      <w:w w:val="100"/>
      <w:sz w:val="21"/>
      <w:szCs w:val="21"/>
      <w:shd w:val="clear"/>
    </w:rPr>
  </w:style>
  <w:style w:type="paragraph" w:styleId="8">
    <w:name w:val="heading 6"/>
    <w:next w:val="1"/>
    <w:qFormat/>
    <w:uiPriority w:val="12"/>
    <w:pPr>
      <w:widowControl/>
      <w:wordWrap/>
      <w:autoSpaceDE/>
      <w:autoSpaceDN/>
      <w:ind w:left="1600" w:hanging="400"/>
      <w:jc w:val="both"/>
    </w:pPr>
    <w:rPr>
      <w:rFonts w:ascii="Times New Roman" w:hAnsi="Times New Roman" w:eastAsia="Times New Roman" w:cstheme="minorBidi"/>
      <w:b/>
      <w:w w:val="100"/>
      <w:sz w:val="21"/>
      <w:szCs w:val="21"/>
      <w:shd w:val="clear"/>
    </w:rPr>
  </w:style>
  <w:style w:type="paragraph" w:styleId="9">
    <w:name w:val="heading 7"/>
    <w:next w:val="1"/>
    <w:qFormat/>
    <w:uiPriority w:val="13"/>
    <w:pPr>
      <w:widowControl/>
      <w:wordWrap/>
      <w:autoSpaceDE/>
      <w:autoSpaceDN/>
      <w:ind w:left="1800" w:hanging="400"/>
      <w:jc w:val="both"/>
    </w:pPr>
    <w:rPr>
      <w:rFonts w:ascii="Times New Roman" w:hAnsi="Times New Roman" w:eastAsia="Times New Roman" w:cstheme="minorBidi"/>
      <w:w w:val="100"/>
      <w:sz w:val="21"/>
      <w:szCs w:val="21"/>
      <w:shd w:val="clear"/>
    </w:rPr>
  </w:style>
  <w:style w:type="paragraph" w:styleId="10">
    <w:name w:val="heading 8"/>
    <w:next w:val="1"/>
    <w:qFormat/>
    <w:uiPriority w:val="14"/>
    <w:pPr>
      <w:widowControl/>
      <w:wordWrap/>
      <w:autoSpaceDE/>
      <w:autoSpaceDN/>
      <w:ind w:left="2000" w:hanging="400"/>
      <w:jc w:val="both"/>
    </w:pPr>
    <w:rPr>
      <w:rFonts w:ascii="Times New Roman" w:hAnsi="Times New Roman" w:eastAsia="Times New Roman" w:cstheme="minorBidi"/>
      <w:w w:val="100"/>
      <w:sz w:val="21"/>
      <w:szCs w:val="21"/>
      <w:shd w:val="clear"/>
    </w:rPr>
  </w:style>
  <w:style w:type="paragraph" w:styleId="11">
    <w:name w:val="heading 9"/>
    <w:next w:val="1"/>
    <w:qFormat/>
    <w:uiPriority w:val="15"/>
    <w:pPr>
      <w:widowControl/>
      <w:wordWrap/>
      <w:autoSpaceDE/>
      <w:autoSpaceDN/>
      <w:ind w:left="2200" w:hanging="400"/>
      <w:jc w:val="both"/>
    </w:pPr>
    <w:rPr>
      <w:rFonts w:ascii="Times New Roman" w:hAnsi="Times New Roman" w:eastAsia="Times New Roman" w:cstheme="minorBidi"/>
      <w:w w:val="100"/>
      <w:sz w:val="21"/>
      <w:szCs w:val="21"/>
      <w:shd w:val="clear"/>
    </w:rPr>
  </w:style>
  <w:style w:type="character" w:default="1" w:styleId="25">
    <w:name w:val="Default Paragraph Font"/>
    <w:semiHidden/>
    <w:qFormat/>
    <w:uiPriority w:val="2"/>
  </w:style>
  <w:style w:type="table" w:default="1" w:styleId="28">
    <w:name w:val="Normal Table"/>
    <w:qFormat/>
    <w:uiPriority w:val="37"/>
    <w:tblPr>
      <w:tblLayout w:type="fixed"/>
      <w:tblCellMar>
        <w:top w:w="0" w:type="dxa"/>
        <w:left w:w="108" w:type="dxa"/>
        <w:bottom w:w="0" w:type="dxa"/>
        <w:right w:w="108" w:type="dxa"/>
      </w:tblCellMar>
    </w:tblPr>
  </w:style>
  <w:style w:type="paragraph" w:styleId="2">
    <w:name w:val="Title"/>
    <w:basedOn w:val="1"/>
    <w:next w:val="1"/>
    <w:qFormat/>
    <w:uiPriority w:val="6"/>
    <w:pPr>
      <w:widowControl/>
      <w:wordWrap/>
      <w:autoSpaceDE/>
      <w:autoSpaceDN/>
      <w:jc w:val="center"/>
    </w:pPr>
    <w:rPr>
      <w:rFonts w:ascii="Times New Roman" w:hAnsi="Times New Roman" w:eastAsia="Times New Roman" w:cstheme="minorBidi"/>
      <w:b/>
      <w:w w:val="100"/>
      <w:sz w:val="32"/>
      <w:szCs w:val="32"/>
      <w:shd w:val="clear"/>
    </w:rPr>
  </w:style>
  <w:style w:type="paragraph" w:styleId="12">
    <w:name w:val="toc 7"/>
    <w:next w:val="1"/>
    <w:unhideWhenUsed/>
    <w:qFormat/>
    <w:uiPriority w:val="34"/>
    <w:pPr>
      <w:widowControl/>
      <w:wordWrap/>
      <w:autoSpaceDE/>
      <w:autoSpaceDN/>
      <w:ind w:left="2550" w:firstLine="0"/>
      <w:jc w:val="both"/>
    </w:pPr>
    <w:rPr>
      <w:rFonts w:ascii="Times New Roman" w:hAnsi="Times New Roman" w:eastAsia="Times New Roman" w:cstheme="minorBidi"/>
      <w:w w:val="100"/>
      <w:sz w:val="21"/>
      <w:szCs w:val="21"/>
      <w:shd w:val="clear"/>
    </w:rPr>
  </w:style>
  <w:style w:type="paragraph" w:styleId="13">
    <w:name w:val="Normal Indent"/>
    <w:basedOn w:val="1"/>
    <w:next w:val="14"/>
    <w:qFormat/>
    <w:uiPriority w:val="0"/>
    <w:pPr>
      <w:ind w:firstLine="420" w:firstLineChars="200"/>
    </w:pPr>
  </w:style>
  <w:style w:type="paragraph" w:styleId="14">
    <w:name w:val="Subtitle"/>
    <w:next w:val="1"/>
    <w:qFormat/>
    <w:uiPriority w:val="16"/>
    <w:pPr>
      <w:widowControl/>
      <w:wordWrap/>
      <w:autoSpaceDE/>
      <w:autoSpaceDN/>
      <w:jc w:val="center"/>
    </w:pPr>
    <w:rPr>
      <w:rFonts w:ascii="Times New Roman" w:hAnsi="Times New Roman" w:eastAsia="Times New Roman" w:cstheme="minorBidi"/>
      <w:w w:val="100"/>
      <w:sz w:val="24"/>
      <w:szCs w:val="24"/>
      <w:shd w:val="clear"/>
    </w:rPr>
  </w:style>
  <w:style w:type="paragraph" w:styleId="15">
    <w:name w:val="toc 5"/>
    <w:next w:val="1"/>
    <w:unhideWhenUsed/>
    <w:qFormat/>
    <w:uiPriority w:val="32"/>
    <w:pPr>
      <w:widowControl/>
      <w:wordWrap/>
      <w:autoSpaceDE/>
      <w:autoSpaceDN/>
      <w:ind w:left="1700" w:firstLine="0"/>
      <w:jc w:val="both"/>
    </w:pPr>
    <w:rPr>
      <w:rFonts w:ascii="Times New Roman" w:hAnsi="Times New Roman" w:eastAsia="Times New Roman" w:cstheme="minorBidi"/>
      <w:w w:val="100"/>
      <w:sz w:val="21"/>
      <w:szCs w:val="21"/>
      <w:shd w:val="clear"/>
    </w:rPr>
  </w:style>
  <w:style w:type="paragraph" w:styleId="16">
    <w:name w:val="toc 3"/>
    <w:next w:val="1"/>
    <w:unhideWhenUsed/>
    <w:qFormat/>
    <w:uiPriority w:val="30"/>
    <w:pPr>
      <w:widowControl/>
      <w:wordWrap/>
      <w:autoSpaceDE/>
      <w:autoSpaceDN/>
      <w:ind w:left="850" w:firstLine="0"/>
      <w:jc w:val="both"/>
    </w:pPr>
    <w:rPr>
      <w:rFonts w:ascii="Times New Roman" w:hAnsi="Times New Roman" w:eastAsia="Times New Roman" w:cstheme="minorBidi"/>
      <w:w w:val="100"/>
      <w:sz w:val="21"/>
      <w:szCs w:val="21"/>
      <w:shd w:val="clear"/>
    </w:rPr>
  </w:style>
  <w:style w:type="paragraph" w:styleId="17">
    <w:name w:val="toc 8"/>
    <w:next w:val="1"/>
    <w:unhideWhenUsed/>
    <w:qFormat/>
    <w:uiPriority w:val="35"/>
    <w:pPr>
      <w:widowControl/>
      <w:wordWrap/>
      <w:autoSpaceDE/>
      <w:autoSpaceDN/>
      <w:ind w:left="2975" w:firstLine="0"/>
      <w:jc w:val="both"/>
    </w:pPr>
    <w:rPr>
      <w:rFonts w:ascii="Times New Roman" w:hAnsi="Times New Roman" w:eastAsia="Times New Roman" w:cstheme="minorBidi"/>
      <w:w w:val="100"/>
      <w:sz w:val="21"/>
      <w:szCs w:val="21"/>
      <w:shd w:val="clear"/>
    </w:rPr>
  </w:style>
  <w:style w:type="paragraph" w:styleId="18">
    <w:name w:val="footer"/>
    <w:basedOn w:val="1"/>
    <w:qFormat/>
    <w:uiPriority w:val="152"/>
    <w:pPr>
      <w:widowControl/>
      <w:tabs>
        <w:tab w:val="center" w:pos="4153"/>
        <w:tab w:val="right" w:pos="8306"/>
      </w:tabs>
      <w:wordWrap/>
      <w:autoSpaceDE/>
      <w:autoSpaceDN/>
    </w:pPr>
    <w:rPr>
      <w:w w:val="100"/>
      <w:sz w:val="18"/>
      <w:szCs w:val="18"/>
      <w:shd w:val="clear"/>
    </w:rPr>
  </w:style>
  <w:style w:type="paragraph" w:styleId="19">
    <w:name w:val="header"/>
    <w:basedOn w:val="1"/>
    <w:qFormat/>
    <w:uiPriority w:val="153"/>
    <w:pPr>
      <w:widowControl/>
      <w:tabs>
        <w:tab w:val="center" w:pos="4153"/>
        <w:tab w:val="right" w:pos="8306"/>
      </w:tabs>
      <w:wordWrap/>
      <w:autoSpaceDE/>
      <w:autoSpaceDN/>
      <w:jc w:val="both"/>
    </w:pPr>
    <w:rPr>
      <w:w w:val="100"/>
      <w:sz w:val="18"/>
      <w:szCs w:val="18"/>
      <w:shd w:val="clear"/>
    </w:rPr>
  </w:style>
  <w:style w:type="paragraph" w:styleId="20">
    <w:name w:val="toc 1"/>
    <w:next w:val="1"/>
    <w:unhideWhenUsed/>
    <w:qFormat/>
    <w:uiPriority w:val="28"/>
    <w:pPr>
      <w:widowControl/>
      <w:wordWrap/>
      <w:autoSpaceDE/>
      <w:autoSpaceDN/>
      <w:jc w:val="both"/>
    </w:pPr>
    <w:rPr>
      <w:rFonts w:ascii="Times New Roman" w:hAnsi="Times New Roman" w:eastAsia="Times New Roman" w:cstheme="minorBidi"/>
      <w:w w:val="100"/>
      <w:sz w:val="21"/>
      <w:szCs w:val="21"/>
      <w:shd w:val="clear"/>
    </w:rPr>
  </w:style>
  <w:style w:type="paragraph" w:styleId="21">
    <w:name w:val="toc 4"/>
    <w:next w:val="1"/>
    <w:unhideWhenUsed/>
    <w:qFormat/>
    <w:uiPriority w:val="31"/>
    <w:pPr>
      <w:widowControl/>
      <w:wordWrap/>
      <w:autoSpaceDE/>
      <w:autoSpaceDN/>
      <w:ind w:left="1275" w:firstLine="0"/>
      <w:jc w:val="both"/>
    </w:pPr>
    <w:rPr>
      <w:rFonts w:ascii="Times New Roman" w:hAnsi="Times New Roman" w:eastAsia="Times New Roman" w:cstheme="minorBidi"/>
      <w:w w:val="100"/>
      <w:sz w:val="21"/>
      <w:szCs w:val="21"/>
      <w:shd w:val="clear"/>
    </w:rPr>
  </w:style>
  <w:style w:type="paragraph" w:styleId="22">
    <w:name w:val="toc 6"/>
    <w:next w:val="1"/>
    <w:unhideWhenUsed/>
    <w:qFormat/>
    <w:uiPriority w:val="33"/>
    <w:pPr>
      <w:widowControl/>
      <w:wordWrap/>
      <w:autoSpaceDE/>
      <w:autoSpaceDN/>
      <w:ind w:left="2125" w:firstLine="0"/>
      <w:jc w:val="both"/>
    </w:pPr>
    <w:rPr>
      <w:rFonts w:ascii="Times New Roman" w:hAnsi="Times New Roman" w:eastAsia="Times New Roman" w:cstheme="minorBidi"/>
      <w:w w:val="100"/>
      <w:sz w:val="21"/>
      <w:szCs w:val="21"/>
      <w:shd w:val="clear"/>
    </w:rPr>
  </w:style>
  <w:style w:type="paragraph" w:styleId="23">
    <w:name w:val="toc 2"/>
    <w:next w:val="1"/>
    <w:unhideWhenUsed/>
    <w:qFormat/>
    <w:uiPriority w:val="29"/>
    <w:pPr>
      <w:widowControl/>
      <w:wordWrap/>
      <w:autoSpaceDE/>
      <w:autoSpaceDN/>
      <w:ind w:left="425" w:firstLine="0"/>
      <w:jc w:val="both"/>
    </w:pPr>
    <w:rPr>
      <w:rFonts w:ascii="Times New Roman" w:hAnsi="Times New Roman" w:eastAsia="Times New Roman" w:cstheme="minorBidi"/>
      <w:w w:val="100"/>
      <w:sz w:val="21"/>
      <w:szCs w:val="21"/>
      <w:shd w:val="clear"/>
    </w:rPr>
  </w:style>
  <w:style w:type="paragraph" w:styleId="24">
    <w:name w:val="toc 9"/>
    <w:next w:val="1"/>
    <w:unhideWhenUsed/>
    <w:qFormat/>
    <w:uiPriority w:val="36"/>
    <w:pPr>
      <w:widowControl/>
      <w:wordWrap/>
      <w:autoSpaceDE/>
      <w:autoSpaceDN/>
      <w:ind w:left="3400" w:firstLine="0"/>
      <w:jc w:val="both"/>
    </w:pPr>
    <w:rPr>
      <w:rFonts w:ascii="Times New Roman" w:hAnsi="Times New Roman" w:eastAsia="Times New Roman" w:cstheme="minorBidi"/>
      <w:w w:val="100"/>
      <w:sz w:val="21"/>
      <w:szCs w:val="21"/>
      <w:shd w:val="clear"/>
    </w:rPr>
  </w:style>
  <w:style w:type="character" w:styleId="26">
    <w:name w:val="Strong"/>
    <w:qFormat/>
    <w:uiPriority w:val="20"/>
    <w:rPr>
      <w:b/>
      <w:w w:val="100"/>
      <w:sz w:val="21"/>
      <w:szCs w:val="21"/>
      <w:shd w:val="clear"/>
    </w:rPr>
  </w:style>
  <w:style w:type="character" w:styleId="27">
    <w:name w:val="Emphasis"/>
    <w:qFormat/>
    <w:uiPriority w:val="18"/>
    <w:rPr>
      <w:i/>
      <w:w w:val="100"/>
      <w:sz w:val="21"/>
      <w:szCs w:val="21"/>
      <w:shd w:val="clear"/>
    </w:rPr>
  </w:style>
  <w:style w:type="table" w:styleId="29">
    <w:name w:val="Table Grid"/>
    <w:qFormat/>
    <w:uiPriority w:val="38"/>
    <w:pPr>
      <w:widowControl/>
      <w:wordWrap/>
      <w:autoSpaceDE/>
      <w:autoSpaceDN/>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0">
    <w:name w:val="No Spacing"/>
    <w:qFormat/>
    <w:uiPriority w:val="5"/>
    <w:pPr>
      <w:widowControl/>
      <w:wordWrap/>
      <w:autoSpaceDE/>
      <w:autoSpaceDN/>
      <w:jc w:val="both"/>
    </w:pPr>
    <w:rPr>
      <w:rFonts w:ascii="Times New Roman" w:hAnsi="Times New Roman" w:eastAsia="Times New Roman" w:cstheme="minorBidi"/>
      <w:w w:val="100"/>
      <w:sz w:val="21"/>
      <w:szCs w:val="21"/>
      <w:shd w:val="clear"/>
    </w:rPr>
  </w:style>
  <w:style w:type="character" w:customStyle="1" w:styleId="31">
    <w:name w:val="Subtle Emphasis"/>
    <w:qFormat/>
    <w:uiPriority w:val="17"/>
    <w:rPr>
      <w:i/>
      <w:color w:val="404040"/>
      <w:w w:val="100"/>
      <w:sz w:val="21"/>
      <w:szCs w:val="21"/>
      <w:shd w:val="clear"/>
    </w:rPr>
  </w:style>
  <w:style w:type="character" w:customStyle="1" w:styleId="32">
    <w:name w:val="Intense Emphasis"/>
    <w:qFormat/>
    <w:uiPriority w:val="19"/>
    <w:rPr>
      <w:i/>
      <w:color w:val="5B9BD5"/>
      <w:w w:val="100"/>
      <w:sz w:val="21"/>
      <w:szCs w:val="21"/>
      <w:shd w:val="clear"/>
    </w:rPr>
  </w:style>
  <w:style w:type="paragraph" w:customStyle="1" w:styleId="33">
    <w:name w:val="Quote"/>
    <w:qFormat/>
    <w:uiPriority w:val="21"/>
    <w:pPr>
      <w:widowControl/>
      <w:wordWrap/>
      <w:autoSpaceDE/>
      <w:autoSpaceDN/>
      <w:ind w:left="864" w:right="864" w:firstLine="0"/>
      <w:jc w:val="center"/>
    </w:pPr>
    <w:rPr>
      <w:rFonts w:ascii="Times New Roman" w:hAnsi="Times New Roman" w:eastAsia="Times New Roman" w:cstheme="minorBidi"/>
      <w:i/>
      <w:color w:val="404040"/>
      <w:w w:val="100"/>
      <w:sz w:val="21"/>
      <w:szCs w:val="21"/>
      <w:shd w:val="clear"/>
    </w:rPr>
  </w:style>
  <w:style w:type="paragraph" w:customStyle="1" w:styleId="34">
    <w:name w:val="Intense Quote"/>
    <w:qFormat/>
    <w:uiPriority w:val="22"/>
    <w:pPr>
      <w:widowControl/>
      <w:wordWrap/>
      <w:autoSpaceDE/>
      <w:autoSpaceDN/>
      <w:ind w:left="950" w:right="950" w:firstLine="0"/>
      <w:jc w:val="center"/>
    </w:pPr>
    <w:rPr>
      <w:rFonts w:ascii="Times New Roman" w:hAnsi="Times New Roman" w:eastAsia="Times New Roman" w:cstheme="minorBidi"/>
      <w:i/>
      <w:color w:val="5B9BD5"/>
      <w:w w:val="100"/>
      <w:sz w:val="21"/>
      <w:szCs w:val="21"/>
      <w:shd w:val="clear"/>
    </w:rPr>
  </w:style>
  <w:style w:type="character" w:customStyle="1" w:styleId="35">
    <w:name w:val="Subtle Reference"/>
    <w:qFormat/>
    <w:uiPriority w:val="23"/>
    <w:rPr>
      <w:smallCaps/>
      <w:color w:val="5A5A5A"/>
      <w:w w:val="100"/>
      <w:sz w:val="21"/>
      <w:szCs w:val="21"/>
      <w:shd w:val="clear"/>
    </w:rPr>
  </w:style>
  <w:style w:type="character" w:customStyle="1" w:styleId="36">
    <w:name w:val="Intense Reference"/>
    <w:qFormat/>
    <w:uiPriority w:val="24"/>
    <w:rPr>
      <w:b/>
      <w:smallCaps/>
      <w:color w:val="5B9BD5"/>
      <w:w w:val="100"/>
      <w:sz w:val="21"/>
      <w:szCs w:val="21"/>
      <w:shd w:val="clear"/>
    </w:rPr>
  </w:style>
  <w:style w:type="character" w:customStyle="1" w:styleId="37">
    <w:name w:val="Book Title"/>
    <w:qFormat/>
    <w:uiPriority w:val="25"/>
    <w:rPr>
      <w:b/>
      <w:i/>
      <w:w w:val="100"/>
      <w:sz w:val="21"/>
      <w:szCs w:val="21"/>
      <w:shd w:val="clear"/>
    </w:rPr>
  </w:style>
  <w:style w:type="paragraph" w:customStyle="1" w:styleId="38">
    <w:name w:val="List Paragraph"/>
    <w:qFormat/>
    <w:uiPriority w:val="26"/>
    <w:pPr>
      <w:widowControl/>
      <w:wordWrap/>
      <w:autoSpaceDE/>
      <w:autoSpaceDN/>
      <w:ind w:left="850" w:firstLine="0"/>
      <w:jc w:val="both"/>
    </w:pPr>
    <w:rPr>
      <w:rFonts w:ascii="Times New Roman" w:hAnsi="Times New Roman" w:eastAsia="Times New Roman" w:cstheme="minorBidi"/>
      <w:w w:val="100"/>
      <w:sz w:val="21"/>
      <w:szCs w:val="21"/>
      <w:shd w:val="clear"/>
    </w:rPr>
  </w:style>
  <w:style w:type="paragraph" w:customStyle="1" w:styleId="39">
    <w:name w:val="TOC Heading"/>
    <w:unhideWhenUsed/>
    <w:qFormat/>
    <w:uiPriority w:val="27"/>
    <w:pPr>
      <w:widowControl/>
      <w:wordWrap/>
      <w:autoSpaceDE/>
      <w:autoSpaceDN/>
    </w:pPr>
    <w:rPr>
      <w:rFonts w:ascii="Times New Roman" w:hAnsi="Times New Roman" w:eastAsia="Times New Roman" w:cstheme="minorBidi"/>
      <w:color w:val="2E74B5"/>
      <w:w w:val="100"/>
      <w:sz w:val="32"/>
      <w:szCs w:val="32"/>
      <w:shd w:val="clear"/>
    </w:rPr>
  </w:style>
  <w:style w:type="paragraph" w:customStyle="1" w:styleId="40">
    <w:name w:val="Plain Text"/>
    <w:basedOn w:val="1"/>
    <w:qFormat/>
    <w:uiPriority w:val="154"/>
    <w:rPr>
      <w:rFonts w:ascii="宋体" w:hAnsi="宋体" w:eastAsia="Courier New"/>
      <w:w w:val="100"/>
      <w:sz w:val="20"/>
      <w:szCs w:val="20"/>
      <w:shd w:val="clear"/>
    </w:rPr>
  </w:style>
  <w:style w:type="paragraph" w:customStyle="1" w:styleId="41">
    <w:name w:val="Plain Text1"/>
    <w:basedOn w:val="1"/>
    <w:qFormat/>
    <w:uiPriority w:val="155"/>
    <w:rPr>
      <w:rFonts w:ascii="宋体" w:hAnsi="宋体" w:eastAsia="Courier New"/>
      <w:w w:val="100"/>
      <w:sz w:val="20"/>
      <w:szCs w:val="20"/>
      <w:shd w:val="cle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0</Words>
  <Characters>0</Characters>
  <Lines>0</Lines>
  <Paragraphs>0</Paragraphs>
  <ScaleCrop>false</ScaleCrop>
  <LinksUpToDate>false</LinksUpToDate>
  <CharactersWithSpaces>0</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2020-04-25T03:53:00Z</dcterms:created>
  <dc:creator>Administrator</dc:creator>
  <cp:lastModifiedBy>admin</cp:lastModifiedBy>
  <cp:lastPrinted>2026-03-21T10:23:00Z</cp:lastPrinted>
  <dcterms:modified xsi:type="dcterms:W3CDTF">2026-07-27T08:58:55Z</dcterms:modified>
  <dc:title>石家庄市长安区被征地农民基本养老保险</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y fmtid="{D5CDD505-2E9C-101B-9397-08002B2CF9AE}" pid="3" name="ICV">
    <vt:lpwstr>87FD0E44CD34401EBCEFAA51B7BDAA46</vt:lpwstr>
  </property>
</Properties>
</file>